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66" w:rsidRDefault="00874666">
      <w:pPr>
        <w:pStyle w:val="newncpi0"/>
        <w:jc w:val="center"/>
      </w:pPr>
      <w:r>
        <w:rPr>
          <w:rStyle w:val="name"/>
        </w:rPr>
        <w:t>УКАЗ </w:t>
      </w:r>
      <w:r>
        <w:rPr>
          <w:rStyle w:val="promulgator"/>
        </w:rPr>
        <w:t>ПРЕЗИДЕНТА РЕСПУБЛИКИ БЕЛАРУСЬ</w:t>
      </w:r>
    </w:p>
    <w:p w:rsidR="00874666" w:rsidRDefault="00874666">
      <w:pPr>
        <w:pStyle w:val="newncpi"/>
        <w:ind w:firstLine="0"/>
        <w:jc w:val="center"/>
      </w:pPr>
      <w:r>
        <w:rPr>
          <w:rStyle w:val="datepr"/>
        </w:rPr>
        <w:t>4 февраля 2021 г.</w:t>
      </w:r>
      <w:r>
        <w:rPr>
          <w:rStyle w:val="number"/>
        </w:rPr>
        <w:t xml:space="preserve"> № 40</w:t>
      </w:r>
    </w:p>
    <w:p w:rsidR="00874666" w:rsidRDefault="00874666">
      <w:pPr>
        <w:pStyle w:val="titlencpi"/>
      </w:pPr>
      <w:r>
        <w:t>Об изменении указов Президента Республики Беларусь</w:t>
      </w:r>
    </w:p>
    <w:p w:rsidR="00874666" w:rsidRDefault="00874666">
      <w:pPr>
        <w:pStyle w:val="point"/>
      </w:pPr>
      <w:r>
        <w:t>1. Внести изменения в следующие указы Президента Республики Беларусь:</w:t>
      </w:r>
    </w:p>
    <w:p w:rsidR="00874666" w:rsidRDefault="00874666">
      <w:pPr>
        <w:pStyle w:val="underpoint"/>
      </w:pPr>
      <w:r>
        <w:t>1.1. в пункте 11</w:t>
      </w:r>
      <w:r>
        <w:rPr>
          <w:vertAlign w:val="superscript"/>
        </w:rPr>
        <w:t>1</w:t>
      </w:r>
      <w:r>
        <w:t xml:space="preserve"> Указа Президента Республики Беларусь от 2 июня 2006 г. № 372 «О мерах по развитию агроэкотуризма в Республике Беларусь»:</w:t>
      </w:r>
    </w:p>
    <w:p w:rsidR="00874666" w:rsidRDefault="00874666">
      <w:pPr>
        <w:pStyle w:val="newncpi"/>
      </w:pPr>
      <w:r>
        <w:t>в части первой цифры «2020» заменить цифрами «2025»;</w:t>
      </w:r>
    </w:p>
    <w:p w:rsidR="00874666" w:rsidRDefault="00874666">
      <w:pPr>
        <w:pStyle w:val="newncpi"/>
      </w:pPr>
      <w:r>
        <w:t>после части первой дополнить пункт частью следующего содержания:</w:t>
      </w:r>
    </w:p>
    <w:p w:rsidR="00874666" w:rsidRDefault="00874666">
      <w:pPr>
        <w:pStyle w:val="newncpi"/>
      </w:pPr>
      <w:r>
        <w:t>«При предоставлении открытым акционерным обществом «Белагропромбанк» одному субъекту агроэкотуризма нескольких кредитов на условиях, предусмотренных в части первой настоящего пункта, должен соблюдаться совокупный предельный размер единовременной задолженности по всем действующим кредитным договорам этого субъекта агроэкотуризма (за вычетом суммы погашенной задолженности по ним) не более 2000 базовых величин исходя из размера базовой величины, установленного на дату заключения последнего кредитного договора.»;</w:t>
      </w:r>
    </w:p>
    <w:p w:rsidR="00874666" w:rsidRDefault="00874666">
      <w:pPr>
        <w:pStyle w:val="underpoint"/>
      </w:pPr>
      <w:r>
        <w:t>1.2. в Указе Президента Республики Беларусь от 9 октября 2017 г. № 365 «О развитии агроэкотуризма»:</w:t>
      </w:r>
    </w:p>
    <w:p w:rsidR="00874666" w:rsidRDefault="00874666">
      <w:pPr>
        <w:pStyle w:val="newncpi"/>
      </w:pPr>
      <w:r>
        <w:t>пункт 1 дополнить частью следующего содержания:</w:t>
      </w:r>
    </w:p>
    <w:p w:rsidR="00874666" w:rsidRDefault="00874666">
      <w:pPr>
        <w:pStyle w:val="newncpi"/>
      </w:pPr>
      <w:r>
        <w:t>«Субъект агроэкотуризма вправе осуществлять деятельность по оказанию услуг в сфере агроэкотуризма на территории двух агроэкоусадеб, соответствующих требованиям, установленным в абзаце четвертом пункта 12 настоящего Указа.»;</w:t>
      </w:r>
    </w:p>
    <w:p w:rsidR="00874666" w:rsidRDefault="00874666">
      <w:pPr>
        <w:pStyle w:val="newncpi"/>
      </w:pPr>
      <w:r>
        <w:t>в абзаце втором пункта 4, абзаце втором пункта 5 и абзаце четвертом пункта 12 слово «комнат» заменить словами «жилых комнат»;</w:t>
      </w:r>
    </w:p>
    <w:p w:rsidR="00874666" w:rsidRDefault="00874666">
      <w:pPr>
        <w:pStyle w:val="newncpi"/>
      </w:pPr>
      <w:r>
        <w:t>пункты 7 и 8 изложить в следующей редакции:</w:t>
      </w:r>
    </w:p>
    <w:p w:rsidR="00874666" w:rsidRDefault="00874666">
      <w:pPr>
        <w:pStyle w:val="point"/>
      </w:pPr>
      <w:r>
        <w:rPr>
          <w:rStyle w:val="rednoun"/>
        </w:rPr>
        <w:t>«</w:t>
      </w:r>
      <w:r>
        <w:t>7. До начала осуществления деятельности по оказанию услуг в сфере агроэкотуризма субъекты агроэкотуризма обязаны в отношении каждой агроэкоусадьбы:</w:t>
      </w:r>
    </w:p>
    <w:p w:rsidR="00874666" w:rsidRDefault="00874666">
      <w:pPr>
        <w:pStyle w:val="newncpi"/>
      </w:pPr>
      <w:r>
        <w:t>уплатить сбор за осуществление деятельности по оказанию услуг в сфере агроэкотуризма (далее – сбор);</w:t>
      </w:r>
    </w:p>
    <w:p w:rsidR="00874666" w:rsidRDefault="00874666">
      <w:pPr>
        <w:pStyle w:val="newncpi"/>
      </w:pPr>
      <w:r>
        <w:t>направить письменное уведомление по форме, установленной Министерством спорта и туризма (далее – письменное уведомление).</w:t>
      </w:r>
    </w:p>
    <w:p w:rsidR="00874666" w:rsidRDefault="00874666">
      <w:pPr>
        <w:pStyle w:val="newncpi"/>
      </w:pPr>
      <w:r>
        <w:t>Сбор уплачивается субъектами агроэкотуризма:</w:t>
      </w:r>
    </w:p>
    <w:p w:rsidR="00874666" w:rsidRDefault="00874666">
      <w:pPr>
        <w:pStyle w:val="newncpi"/>
      </w:pPr>
      <w:r>
        <w:t>физическим лицом – в бюджет первичного уровня по месту нахождения агроэкоусадьбы;</w:t>
      </w:r>
    </w:p>
    <w:p w:rsidR="00874666" w:rsidRDefault="00874666">
      <w:pPr>
        <w:pStyle w:val="newncpi"/>
      </w:pPr>
      <w:r>
        <w:t>сельскохозяйственной организацией – в бюджет первичного уровня по месту ее государственной регистрации.</w:t>
      </w:r>
    </w:p>
    <w:p w:rsidR="00874666" w:rsidRDefault="00874666">
      <w:pPr>
        <w:pStyle w:val="newncpi"/>
      </w:pPr>
      <w:r>
        <w:t>Письменное уведомление направляется субъектами агроэкотуризма:</w:t>
      </w:r>
    </w:p>
    <w:p w:rsidR="00874666" w:rsidRDefault="00874666">
      <w:pPr>
        <w:pStyle w:val="newncpi"/>
      </w:pPr>
      <w:r>
        <w:t>физическим лицом – в районный исполнительный комитет по месту нахождения агроэкоусадьбы;</w:t>
      </w:r>
    </w:p>
    <w:p w:rsidR="00874666" w:rsidRDefault="00874666">
      <w:pPr>
        <w:pStyle w:val="newncpi"/>
      </w:pPr>
      <w:r>
        <w:t>сельскохозяйственной организацией – в районный исполнительный комитет по месту ее государственной регистрации.</w:t>
      </w:r>
    </w:p>
    <w:p w:rsidR="00874666" w:rsidRDefault="00874666">
      <w:pPr>
        <w:pStyle w:val="newncpi"/>
      </w:pPr>
      <w:r>
        <w:t>Субъекты агроэкотуризма, осуществляющие деятельность по оказанию услуг в сфере агроэкотуризма на территории одной агроэкоусадьбы и планирующие осуществлять такую деятельность на территории второй агроэкоусадьбы, обязаны* в порядке, определенном в частях второй и третьей настоящего пункта, в отношении второй агроэкоусадьбы уплатить сбор и направить письменное уведомление, указав в нем вторую агроэкоусадьбу.</w:t>
      </w:r>
    </w:p>
    <w:p w:rsidR="00874666" w:rsidRDefault="00874666">
      <w:pPr>
        <w:pStyle w:val="newncpi"/>
      </w:pPr>
      <w:r>
        <w:t xml:space="preserve">Районный исполнительный комитет в течение пяти рабочих дней с даты получения письменного уведомления направляет его копию в налоговый орган по месту нахождения соответствующей агроэкоусадьбы субъекта агроэкотуризма – физического лица либо </w:t>
      </w:r>
      <w:r>
        <w:lastRenderedPageBreak/>
        <w:t>по месту постановки на учет субъекта агроэкотуризма – сельскохозяйственной организации.</w:t>
      </w:r>
    </w:p>
    <w:p w:rsidR="00874666" w:rsidRDefault="00874666">
      <w:pPr>
        <w:pStyle w:val="newncpi"/>
      </w:pPr>
      <w:r>
        <w:t>Начало осуществления деятельности по оказанию услуг в сфере агроэкотуризма определяется на основании даты начала осуществления такой деятельности, указываемой субъектом агроэкотуризма в письменном уведомлении.</w:t>
      </w:r>
    </w:p>
    <w:p w:rsidR="00874666" w:rsidRDefault="00874666">
      <w:pPr>
        <w:pStyle w:val="snoskiline"/>
      </w:pPr>
      <w:r>
        <w:t>______________________________</w:t>
      </w:r>
    </w:p>
    <w:p w:rsidR="00874666" w:rsidRDefault="00874666">
      <w:pPr>
        <w:pStyle w:val="snoski"/>
        <w:spacing w:after="240"/>
      </w:pPr>
      <w:r>
        <w:t>* До заключения первого договора на оказание услуг в сфере агроэкотуризма, предусматривающего оказание агроэкотуристам данных услуг на территории второй агроэкоусадьбы.</w:t>
      </w:r>
    </w:p>
    <w:p w:rsidR="00874666" w:rsidRDefault="00874666">
      <w:pPr>
        <w:pStyle w:val="point"/>
      </w:pPr>
      <w:r>
        <w:t>8. Субъекты агроэкотуризма обязаны ежегодно до 10 января года, следующего за отчетным, если иной срок не установлен в настоящем пункте, представлять информацию о заключении (незаключении, отсутствии) договоров на оказание в отчетном году услуг в сфере агроэкотуризма по форме, установленной Министерством по налогам и сборам:</w:t>
      </w:r>
    </w:p>
    <w:p w:rsidR="00874666" w:rsidRDefault="00874666">
      <w:pPr>
        <w:pStyle w:val="newncpi"/>
      </w:pPr>
      <w:r>
        <w:t>физические лица – в любой налоговый орган независимо от места нахождения агроэкоусадеб;</w:t>
      </w:r>
    </w:p>
    <w:p w:rsidR="00874666" w:rsidRDefault="00874666">
      <w:pPr>
        <w:pStyle w:val="newncpi"/>
      </w:pPr>
      <w:r>
        <w:t>сельскохозяйственные организации – по месту их постановки на учет.</w:t>
      </w:r>
    </w:p>
    <w:p w:rsidR="00874666" w:rsidRDefault="00874666">
      <w:pPr>
        <w:pStyle w:val="newncpi"/>
      </w:pPr>
      <w:r>
        <w:t>В случае прекращения деятельности по оказанию услуг в сфере агроэкотуризма в период с 1 по 10 января года, следующего за отчетным, субъект агроэкотуризма не позднее даты, с которой он признается прекратившим деятельность, представляет в налоговый орган в порядке, предусмотренном в части первой настоящего пункта, информацию о заключении (незаключении, отсутствии) договоров на оказание услуг в сфере агроэкотуризма за отчетный год и за период с начала текущего года по день направления письменного уведомления, названного в пункте 10 настоящего Указа.</w:t>
      </w:r>
    </w:p>
    <w:p w:rsidR="00874666" w:rsidRDefault="00874666">
      <w:pPr>
        <w:pStyle w:val="newncpi"/>
      </w:pPr>
      <w:r>
        <w:t>При прекращении деятельности по оказанию услуг в сфере агроэкотуризма в период с 11 января по 31 декабря отчетного года субъект агроэкотуризма не позднее даты, с которой он признается прекратившим деятельность, представляет в налоговый орган в порядке, предусмотренном в части первой настоящего пункта, информацию о заключении (незаключении, отсутствии) договоров на оказание услуг в сфере агроэкотуризма за период с начала отчетного года по день направления письменного уведомления, названного в пункте 10 настоящего Указа.</w:t>
      </w:r>
      <w:r>
        <w:rPr>
          <w:rStyle w:val="rednoun"/>
        </w:rPr>
        <w:t>»</w:t>
      </w:r>
      <w:r>
        <w:t>;</w:t>
      </w:r>
    </w:p>
    <w:p w:rsidR="00874666" w:rsidRDefault="00874666">
      <w:pPr>
        <w:pStyle w:val="newncpi"/>
      </w:pPr>
      <w:r>
        <w:t>в пункте 9 слова «письменного уведомления районного исполнительного комитета» заменить словами «направления в соответствии с частями первой и четвертой пункта 7 настоящего Указа письменного уведомления в районный исполнительный комитет»;</w:t>
      </w:r>
    </w:p>
    <w:p w:rsidR="00874666" w:rsidRDefault="00874666">
      <w:pPr>
        <w:pStyle w:val="newncpi"/>
      </w:pPr>
      <w:r>
        <w:t>пункт 10 изложить в следующей редакции:</w:t>
      </w:r>
    </w:p>
    <w:p w:rsidR="00874666" w:rsidRDefault="00874666">
      <w:pPr>
        <w:pStyle w:val="point"/>
      </w:pPr>
      <w:r>
        <w:rPr>
          <w:rStyle w:val="rednoun"/>
        </w:rPr>
        <w:t>«</w:t>
      </w:r>
      <w:r>
        <w:t>10. При прекращении деятельности по оказанию услуг в сфере агроэкотуризма (прекращении деятельности по оказанию услуг в сфере агроэкотуризма на территории одной агроэкоусадьбы, если субъект агроэкотуризма осуществляет деятельность на территории двух агроэкоусадеб) субъекты агроэкотуризма направляют письменное уведомление:</w:t>
      </w:r>
    </w:p>
    <w:p w:rsidR="00874666" w:rsidRDefault="00874666">
      <w:pPr>
        <w:pStyle w:val="newncpi"/>
      </w:pPr>
      <w:r>
        <w:t>физические лица – в районный исполнительный комитет по месту нахождения агроэкоусадьбы, на территории которой прекращается деятельность;</w:t>
      </w:r>
    </w:p>
    <w:p w:rsidR="00874666" w:rsidRDefault="00874666">
      <w:pPr>
        <w:pStyle w:val="newncpi"/>
      </w:pPr>
      <w:r>
        <w:t>сельскохозяйственные организации – в районный исполнительный комитет по месту их государственной регистрации.</w:t>
      </w:r>
    </w:p>
    <w:p w:rsidR="00874666" w:rsidRDefault="00874666">
      <w:pPr>
        <w:pStyle w:val="newncpi"/>
      </w:pPr>
      <w:r>
        <w:t>Субъект агроэкотуризма признается прекратившим деятельность (прекратившим деятельность на территории соответствующей агроэкоусадьбы) с даты получения районным исполнительным комитетом письменного уведомления, указанного в части первой настоящего пункта.</w:t>
      </w:r>
    </w:p>
    <w:p w:rsidR="00874666" w:rsidRDefault="00874666">
      <w:pPr>
        <w:pStyle w:val="newncpi"/>
      </w:pPr>
      <w:r>
        <w:t>Районный исполнительный комитет в течение пяти рабочих дней с даты получения письменного уведомления направляет его копию с указанием даты прекращения деятельности по оказанию услуг в сфере агроэкотуризма в налоговый орган по месту нахождения агроэкоусадьбы субъекта агроэкотуризма – физического лица либо по месту постановки на учет субъекта агроэкотуризма – сельскохозяйственной организации.</w:t>
      </w:r>
    </w:p>
    <w:p w:rsidR="00874666" w:rsidRDefault="00874666">
      <w:pPr>
        <w:pStyle w:val="newncpi"/>
      </w:pPr>
      <w:r>
        <w:lastRenderedPageBreak/>
        <w:t>В случае прекращения деятельности по оказанию услуг в сфере агроэкотуризма до истечения налогового периода или неосуществления такой деятельности в течение налогового периода уплаченная сумма сбора возврату (зачету) не подлежит.</w:t>
      </w:r>
      <w:r>
        <w:rPr>
          <w:rStyle w:val="rednoun"/>
        </w:rPr>
        <w:t>»</w:t>
      </w:r>
      <w:r>
        <w:t>.</w:t>
      </w:r>
    </w:p>
    <w:p w:rsidR="00874666" w:rsidRDefault="00874666">
      <w:pPr>
        <w:pStyle w:val="point"/>
      </w:pPr>
      <w:r>
        <w:t>2. Совету Министров Республики Беларусь в трехмесячный срок принять меры по реализации настоящего Указа.</w:t>
      </w:r>
    </w:p>
    <w:p w:rsidR="00874666" w:rsidRDefault="00874666">
      <w:pPr>
        <w:pStyle w:val="point"/>
      </w:pPr>
      <w:r>
        <w:t>3. Настоящий Указ вступает в силу после его официального опубликования и распространяет свое действие на отношения, возникшие с 1 января 2021 г.</w:t>
      </w:r>
    </w:p>
    <w:p w:rsidR="00874666" w:rsidRDefault="00874666">
      <w:pPr>
        <w:pStyle w:val="newncpi"/>
      </w:pPr>
      <w:r>
        <w:t> </w:t>
      </w:r>
    </w:p>
    <w:tbl>
      <w:tblPr>
        <w:tblW w:w="5000" w:type="pct"/>
        <w:tblCellMar>
          <w:left w:w="0" w:type="dxa"/>
          <w:right w:w="0" w:type="dxa"/>
        </w:tblCellMar>
        <w:tblLook w:val="04A0"/>
      </w:tblPr>
      <w:tblGrid>
        <w:gridCol w:w="4684"/>
        <w:gridCol w:w="4685"/>
      </w:tblGrid>
      <w:tr w:rsidR="00874666">
        <w:tc>
          <w:tcPr>
            <w:tcW w:w="2500" w:type="pct"/>
            <w:tcMar>
              <w:top w:w="0" w:type="dxa"/>
              <w:left w:w="6" w:type="dxa"/>
              <w:bottom w:w="0" w:type="dxa"/>
              <w:right w:w="6" w:type="dxa"/>
            </w:tcMar>
            <w:vAlign w:val="bottom"/>
            <w:hideMark/>
          </w:tcPr>
          <w:p w:rsidR="00874666" w:rsidRDefault="0087466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74666" w:rsidRDefault="00874666">
            <w:pPr>
              <w:pStyle w:val="newncpi0"/>
              <w:jc w:val="right"/>
            </w:pPr>
            <w:r>
              <w:rPr>
                <w:rStyle w:val="pers"/>
              </w:rPr>
              <w:t>А.Лукашенко</w:t>
            </w:r>
          </w:p>
        </w:tc>
      </w:tr>
    </w:tbl>
    <w:p w:rsidR="00874666" w:rsidRDefault="00874666">
      <w:pPr>
        <w:pStyle w:val="newncpi0"/>
      </w:pPr>
      <w:r>
        <w:t> </w:t>
      </w:r>
    </w:p>
    <w:p w:rsidR="008C77D1" w:rsidRDefault="008C77D1"/>
    <w:sectPr w:rsidR="008C77D1" w:rsidSect="0087466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E59" w:rsidRDefault="002C4E59" w:rsidP="00874666">
      <w:r>
        <w:separator/>
      </w:r>
    </w:p>
  </w:endnote>
  <w:endnote w:type="continuationSeparator" w:id="0">
    <w:p w:rsidR="002C4E59" w:rsidRDefault="002C4E59" w:rsidP="008746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66" w:rsidRDefault="0087466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66" w:rsidRDefault="0087466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874666" w:rsidTr="00874666">
      <w:tc>
        <w:tcPr>
          <w:tcW w:w="1800" w:type="dxa"/>
          <w:shd w:val="clear" w:color="auto" w:fill="auto"/>
          <w:vAlign w:val="center"/>
        </w:tcPr>
        <w:p w:rsidR="00874666" w:rsidRDefault="00874666">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874666" w:rsidRDefault="0087466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874666" w:rsidRDefault="0087466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10.03.2021</w:t>
          </w:r>
        </w:p>
        <w:p w:rsidR="00874666" w:rsidRPr="00874666" w:rsidRDefault="0087466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874666" w:rsidRDefault="008746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E59" w:rsidRDefault="002C4E59" w:rsidP="00874666">
      <w:r>
        <w:separator/>
      </w:r>
    </w:p>
  </w:footnote>
  <w:footnote w:type="continuationSeparator" w:id="0">
    <w:p w:rsidR="002C4E59" w:rsidRDefault="002C4E59" w:rsidP="00874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66" w:rsidRDefault="00874666" w:rsidP="001B09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74666" w:rsidRDefault="0087466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66" w:rsidRPr="00874666" w:rsidRDefault="00874666" w:rsidP="001B09C1">
    <w:pPr>
      <w:pStyle w:val="a3"/>
      <w:framePr w:wrap="around" w:vAnchor="text" w:hAnchor="margin" w:xAlign="center" w:y="1"/>
      <w:rPr>
        <w:rStyle w:val="a7"/>
        <w:rFonts w:ascii="Times New Roman" w:hAnsi="Times New Roman" w:cs="Times New Roman"/>
        <w:sz w:val="24"/>
      </w:rPr>
    </w:pPr>
    <w:r w:rsidRPr="00874666">
      <w:rPr>
        <w:rStyle w:val="a7"/>
        <w:rFonts w:ascii="Times New Roman" w:hAnsi="Times New Roman" w:cs="Times New Roman"/>
        <w:sz w:val="24"/>
      </w:rPr>
      <w:fldChar w:fldCharType="begin"/>
    </w:r>
    <w:r w:rsidRPr="00874666">
      <w:rPr>
        <w:rStyle w:val="a7"/>
        <w:rFonts w:ascii="Times New Roman" w:hAnsi="Times New Roman" w:cs="Times New Roman"/>
        <w:sz w:val="24"/>
      </w:rPr>
      <w:instrText xml:space="preserve">PAGE  </w:instrText>
    </w:r>
    <w:r w:rsidRPr="00874666">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874666">
      <w:rPr>
        <w:rStyle w:val="a7"/>
        <w:rFonts w:ascii="Times New Roman" w:hAnsi="Times New Roman" w:cs="Times New Roman"/>
        <w:sz w:val="24"/>
      </w:rPr>
      <w:fldChar w:fldCharType="end"/>
    </w:r>
  </w:p>
  <w:p w:rsidR="00874666" w:rsidRPr="00874666" w:rsidRDefault="00874666">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666" w:rsidRDefault="0087466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74666"/>
    <w:rsid w:val="002C4E59"/>
    <w:rsid w:val="007E7043"/>
    <w:rsid w:val="00874666"/>
    <w:rsid w:val="008C77D1"/>
    <w:rsid w:val="00D651CC"/>
    <w:rsid w:val="00FA6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74666"/>
    <w:pPr>
      <w:spacing w:before="240" w:after="240"/>
      <w:ind w:right="2268"/>
      <w:jc w:val="left"/>
    </w:pPr>
    <w:rPr>
      <w:rFonts w:ascii="Times New Roman" w:eastAsia="Times New Roman" w:hAnsi="Times New Roman" w:cs="Times New Roman"/>
      <w:b/>
      <w:bCs/>
      <w:sz w:val="28"/>
      <w:szCs w:val="28"/>
      <w:lang w:eastAsia="ru-RU"/>
    </w:rPr>
  </w:style>
  <w:style w:type="paragraph" w:customStyle="1" w:styleId="point">
    <w:name w:val="point"/>
    <w:basedOn w:val="a"/>
    <w:rsid w:val="00874666"/>
    <w:pPr>
      <w:ind w:firstLine="567"/>
    </w:pPr>
    <w:rPr>
      <w:rFonts w:ascii="Times New Roman" w:eastAsiaTheme="minorEastAsia" w:hAnsi="Times New Roman" w:cs="Times New Roman"/>
      <w:sz w:val="24"/>
      <w:szCs w:val="24"/>
      <w:lang w:eastAsia="ru-RU"/>
    </w:rPr>
  </w:style>
  <w:style w:type="paragraph" w:customStyle="1" w:styleId="underpoint">
    <w:name w:val="underpoint"/>
    <w:basedOn w:val="a"/>
    <w:rsid w:val="00874666"/>
    <w:pPr>
      <w:ind w:firstLine="567"/>
    </w:pPr>
    <w:rPr>
      <w:rFonts w:ascii="Times New Roman" w:eastAsiaTheme="minorEastAsia" w:hAnsi="Times New Roman" w:cs="Times New Roman"/>
      <w:sz w:val="24"/>
      <w:szCs w:val="24"/>
      <w:lang w:eastAsia="ru-RU"/>
    </w:rPr>
  </w:style>
  <w:style w:type="paragraph" w:customStyle="1" w:styleId="snoski">
    <w:name w:val="snoski"/>
    <w:basedOn w:val="a"/>
    <w:rsid w:val="00874666"/>
    <w:pPr>
      <w:ind w:firstLine="567"/>
    </w:pPr>
    <w:rPr>
      <w:rFonts w:ascii="Times New Roman" w:eastAsiaTheme="minorEastAsia" w:hAnsi="Times New Roman" w:cs="Times New Roman"/>
      <w:sz w:val="20"/>
      <w:szCs w:val="20"/>
      <w:lang w:eastAsia="ru-RU"/>
    </w:rPr>
  </w:style>
  <w:style w:type="paragraph" w:customStyle="1" w:styleId="snoskiline">
    <w:name w:val="snoskiline"/>
    <w:basedOn w:val="a"/>
    <w:rsid w:val="00874666"/>
    <w:rPr>
      <w:rFonts w:ascii="Times New Roman" w:eastAsiaTheme="minorEastAsia" w:hAnsi="Times New Roman" w:cs="Times New Roman"/>
      <w:sz w:val="20"/>
      <w:szCs w:val="20"/>
      <w:lang w:eastAsia="ru-RU"/>
    </w:rPr>
  </w:style>
  <w:style w:type="paragraph" w:customStyle="1" w:styleId="newncpi">
    <w:name w:val="newncpi"/>
    <w:basedOn w:val="a"/>
    <w:rsid w:val="00874666"/>
    <w:pPr>
      <w:ind w:firstLine="567"/>
    </w:pPr>
    <w:rPr>
      <w:rFonts w:ascii="Times New Roman" w:eastAsiaTheme="minorEastAsia" w:hAnsi="Times New Roman" w:cs="Times New Roman"/>
      <w:sz w:val="24"/>
      <w:szCs w:val="24"/>
      <w:lang w:eastAsia="ru-RU"/>
    </w:rPr>
  </w:style>
  <w:style w:type="paragraph" w:customStyle="1" w:styleId="newncpi0">
    <w:name w:val="newncpi0"/>
    <w:basedOn w:val="a"/>
    <w:rsid w:val="00874666"/>
    <w:rPr>
      <w:rFonts w:ascii="Times New Roman" w:eastAsiaTheme="minorEastAsia" w:hAnsi="Times New Roman" w:cs="Times New Roman"/>
      <w:sz w:val="24"/>
      <w:szCs w:val="24"/>
      <w:lang w:eastAsia="ru-RU"/>
    </w:rPr>
  </w:style>
  <w:style w:type="character" w:customStyle="1" w:styleId="name">
    <w:name w:val="name"/>
    <w:basedOn w:val="a0"/>
    <w:rsid w:val="00874666"/>
    <w:rPr>
      <w:rFonts w:ascii="Times New Roman" w:hAnsi="Times New Roman" w:cs="Times New Roman" w:hint="default"/>
      <w:caps/>
    </w:rPr>
  </w:style>
  <w:style w:type="character" w:customStyle="1" w:styleId="promulgator">
    <w:name w:val="promulgator"/>
    <w:basedOn w:val="a0"/>
    <w:rsid w:val="00874666"/>
    <w:rPr>
      <w:rFonts w:ascii="Times New Roman" w:hAnsi="Times New Roman" w:cs="Times New Roman" w:hint="default"/>
      <w:caps/>
    </w:rPr>
  </w:style>
  <w:style w:type="character" w:customStyle="1" w:styleId="datepr">
    <w:name w:val="datepr"/>
    <w:basedOn w:val="a0"/>
    <w:rsid w:val="00874666"/>
    <w:rPr>
      <w:rFonts w:ascii="Times New Roman" w:hAnsi="Times New Roman" w:cs="Times New Roman" w:hint="default"/>
    </w:rPr>
  </w:style>
  <w:style w:type="character" w:customStyle="1" w:styleId="number">
    <w:name w:val="number"/>
    <w:basedOn w:val="a0"/>
    <w:rsid w:val="00874666"/>
    <w:rPr>
      <w:rFonts w:ascii="Times New Roman" w:hAnsi="Times New Roman" w:cs="Times New Roman" w:hint="default"/>
    </w:rPr>
  </w:style>
  <w:style w:type="character" w:customStyle="1" w:styleId="rednoun">
    <w:name w:val="rednoun"/>
    <w:basedOn w:val="a0"/>
    <w:rsid w:val="00874666"/>
  </w:style>
  <w:style w:type="character" w:customStyle="1" w:styleId="post">
    <w:name w:val="post"/>
    <w:basedOn w:val="a0"/>
    <w:rsid w:val="00874666"/>
    <w:rPr>
      <w:rFonts w:ascii="Times New Roman" w:hAnsi="Times New Roman" w:cs="Times New Roman" w:hint="default"/>
      <w:b/>
      <w:bCs/>
      <w:sz w:val="22"/>
      <w:szCs w:val="22"/>
    </w:rPr>
  </w:style>
  <w:style w:type="character" w:customStyle="1" w:styleId="pers">
    <w:name w:val="pers"/>
    <w:basedOn w:val="a0"/>
    <w:rsid w:val="00874666"/>
    <w:rPr>
      <w:rFonts w:ascii="Times New Roman" w:hAnsi="Times New Roman" w:cs="Times New Roman" w:hint="default"/>
      <w:b/>
      <w:bCs/>
      <w:sz w:val="22"/>
      <w:szCs w:val="22"/>
    </w:rPr>
  </w:style>
  <w:style w:type="paragraph" w:styleId="a3">
    <w:name w:val="header"/>
    <w:basedOn w:val="a"/>
    <w:link w:val="a4"/>
    <w:uiPriority w:val="99"/>
    <w:semiHidden/>
    <w:unhideWhenUsed/>
    <w:rsid w:val="00874666"/>
    <w:pPr>
      <w:tabs>
        <w:tab w:val="center" w:pos="4677"/>
        <w:tab w:val="right" w:pos="9355"/>
      </w:tabs>
    </w:pPr>
  </w:style>
  <w:style w:type="character" w:customStyle="1" w:styleId="a4">
    <w:name w:val="Верхний колонтитул Знак"/>
    <w:basedOn w:val="a0"/>
    <w:link w:val="a3"/>
    <w:uiPriority w:val="99"/>
    <w:semiHidden/>
    <w:rsid w:val="00874666"/>
  </w:style>
  <w:style w:type="paragraph" w:styleId="a5">
    <w:name w:val="footer"/>
    <w:basedOn w:val="a"/>
    <w:link w:val="a6"/>
    <w:uiPriority w:val="99"/>
    <w:semiHidden/>
    <w:unhideWhenUsed/>
    <w:rsid w:val="00874666"/>
    <w:pPr>
      <w:tabs>
        <w:tab w:val="center" w:pos="4677"/>
        <w:tab w:val="right" w:pos="9355"/>
      </w:tabs>
    </w:pPr>
  </w:style>
  <w:style w:type="character" w:customStyle="1" w:styleId="a6">
    <w:name w:val="Нижний колонтитул Знак"/>
    <w:basedOn w:val="a0"/>
    <w:link w:val="a5"/>
    <w:uiPriority w:val="99"/>
    <w:semiHidden/>
    <w:rsid w:val="00874666"/>
  </w:style>
  <w:style w:type="character" w:styleId="a7">
    <w:name w:val="page number"/>
    <w:basedOn w:val="a0"/>
    <w:uiPriority w:val="99"/>
    <w:semiHidden/>
    <w:unhideWhenUsed/>
    <w:rsid w:val="00874666"/>
  </w:style>
  <w:style w:type="table" w:styleId="a8">
    <w:name w:val="Table Grid"/>
    <w:basedOn w:val="a1"/>
    <w:uiPriority w:val="59"/>
    <w:rsid w:val="0087466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874666"/>
    <w:rPr>
      <w:rFonts w:ascii="Tahoma" w:hAnsi="Tahoma" w:cs="Tahoma"/>
      <w:sz w:val="16"/>
      <w:szCs w:val="16"/>
    </w:rPr>
  </w:style>
  <w:style w:type="character" w:customStyle="1" w:styleId="aa">
    <w:name w:val="Текст выноски Знак"/>
    <w:basedOn w:val="a0"/>
    <w:link w:val="a9"/>
    <w:uiPriority w:val="99"/>
    <w:semiHidden/>
    <w:rsid w:val="008746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6220</Characters>
  <Application>Microsoft Office Word</Application>
  <DocSecurity>0</DocSecurity>
  <Lines>113</Lines>
  <Paragraphs>50</Paragraphs>
  <ScaleCrop>false</ScaleCrop>
  <Company>RK</Company>
  <LinksUpToDate>false</LinksUpToDate>
  <CharactersWithSpaces>7045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2021-03-10T13:54:00Z</dcterms:created>
  <dcterms:modified xsi:type="dcterms:W3CDTF">2021-03-10T13:54:00Z</dcterms:modified>
</cp:coreProperties>
</file>