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ED" w:rsidRPr="006569E2" w:rsidRDefault="00E64B3C" w:rsidP="0065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3E18C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3C" w:rsidRPr="006569E2" w:rsidRDefault="00E64B3C" w:rsidP="0065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E2">
        <w:rPr>
          <w:rFonts w:ascii="Times New Roman" w:hAnsi="Times New Roman" w:cs="Times New Roman"/>
          <w:b/>
          <w:sz w:val="24"/>
          <w:szCs w:val="24"/>
        </w:rPr>
        <w:t>Лизинговая программа «Поддержка организаций производственной сферы»</w:t>
      </w:r>
    </w:p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805"/>
      </w:tblGrid>
      <w:tr w:rsidR="00E64B3C" w:rsidRPr="006569E2" w:rsidTr="006569E2">
        <w:trPr>
          <w:trHeight w:val="1566"/>
        </w:trPr>
        <w:tc>
          <w:tcPr>
            <w:tcW w:w="3686" w:type="dxa"/>
          </w:tcPr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Лизингополучатели</w:t>
            </w:r>
          </w:p>
          <w:p w:rsidR="00664D2C" w:rsidRPr="006569E2" w:rsidRDefault="00664D2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B3C" w:rsidRPr="006569E2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предпринимательства: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предприниматели;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микроорганизации</w:t>
            </w:r>
            <w:proofErr w:type="spellEnd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малые организации;</w:t>
            </w:r>
          </w:p>
          <w:p w:rsidR="006817C3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ты среднего предпринимательства </w:t>
            </w:r>
          </w:p>
        </w:tc>
      </w:tr>
      <w:tr w:rsidR="00E64B3C" w:rsidRPr="006569E2" w:rsidTr="00541A8B">
        <w:trPr>
          <w:trHeight w:val="423"/>
        </w:trPr>
        <w:tc>
          <w:tcPr>
            <w:tcW w:w="3686" w:type="dxa"/>
          </w:tcPr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Предмет лизинга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Республики Беларусь</w:t>
            </w:r>
          </w:p>
        </w:tc>
      </w:tr>
      <w:tr w:rsidR="00E64B3C" w:rsidRPr="006569E2" w:rsidTr="00541A8B">
        <w:trPr>
          <w:trHeight w:val="416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Срок лизинга</w:t>
            </w:r>
          </w:p>
        </w:tc>
        <w:tc>
          <w:tcPr>
            <w:tcW w:w="5806" w:type="dxa"/>
          </w:tcPr>
          <w:p w:rsidR="00E64B3C" w:rsidRPr="006569E2" w:rsidRDefault="002B4B17" w:rsidP="003E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от 24 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18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E64B3C" w:rsidRPr="006569E2" w:rsidTr="00541A8B">
        <w:trPr>
          <w:trHeight w:val="408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от 10 %</w:t>
            </w:r>
          </w:p>
        </w:tc>
      </w:tr>
      <w:tr w:rsidR="00E64B3C" w:rsidRPr="006569E2" w:rsidTr="00541A8B">
        <w:trPr>
          <w:trHeight w:val="711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Лизинговая ставка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ставки рефинансирования Национального банка Республики Беларусь, т.е. не менее </w:t>
            </w:r>
            <w:r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6569E2"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="0092779E"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64B3C" w:rsidRPr="006569E2" w:rsidTr="00541A8B">
        <w:trPr>
          <w:trHeight w:val="410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Порядок расчетов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64B3C" w:rsidRPr="006569E2" w:rsidTr="006569E2">
        <w:trPr>
          <w:trHeight w:val="1204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(стоимость предмета лизинга </w:t>
            </w:r>
          </w:p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по договору поставки с учетом НДС), млн. бел. руб.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</w:tr>
      <w:tr w:rsidR="00E64B3C" w:rsidRPr="006569E2" w:rsidTr="00541A8B">
        <w:trPr>
          <w:trHeight w:val="429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</w:tr>
      <w:tr w:rsidR="006817C3" w:rsidRPr="006569E2" w:rsidTr="00541A8B">
        <w:trPr>
          <w:trHeight w:val="691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погашения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предмета лизинга</w:t>
            </w:r>
          </w:p>
        </w:tc>
        <w:tc>
          <w:tcPr>
            <w:tcW w:w="5806" w:type="dxa"/>
          </w:tcPr>
          <w:p w:rsidR="006817C3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</w:tr>
      <w:tr w:rsidR="006817C3" w:rsidRPr="006569E2" w:rsidTr="00541A8B">
        <w:trPr>
          <w:trHeight w:val="417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Выкупная стоимость</w:t>
            </w:r>
          </w:p>
        </w:tc>
        <w:tc>
          <w:tcPr>
            <w:tcW w:w="5806" w:type="dxa"/>
          </w:tcPr>
          <w:p w:rsidR="006817C3" w:rsidRPr="006569E2" w:rsidRDefault="00541A8B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>% стоимости предмета лизинга с учетом НДС</w:t>
            </w:r>
          </w:p>
        </w:tc>
      </w:tr>
      <w:tr w:rsidR="006817C3" w:rsidRPr="006569E2" w:rsidTr="00541A8B">
        <w:trPr>
          <w:trHeight w:val="706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выкупа</w:t>
            </w:r>
          </w:p>
        </w:tc>
        <w:tc>
          <w:tcPr>
            <w:tcW w:w="5806" w:type="dxa"/>
          </w:tcPr>
          <w:p w:rsidR="006817C3" w:rsidRPr="006569E2" w:rsidRDefault="006817C3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с учетом требований законодательства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и по согласованию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 Лизингодателем</w:t>
            </w:r>
          </w:p>
        </w:tc>
      </w:tr>
    </w:tbl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79E" w:rsidRPr="006569E2" w:rsidRDefault="00645EC4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E2">
        <w:rPr>
          <w:rFonts w:ascii="Times New Roman" w:hAnsi="Times New Roman" w:cs="Times New Roman"/>
          <w:sz w:val="24"/>
          <w:szCs w:val="24"/>
        </w:rPr>
        <w:t>*П</w:t>
      </w:r>
      <w:r w:rsidR="0092779E" w:rsidRPr="006569E2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="003E18C4">
        <w:rPr>
          <w:rFonts w:ascii="Times New Roman" w:hAnsi="Times New Roman" w:cs="Times New Roman"/>
          <w:sz w:val="24"/>
          <w:szCs w:val="24"/>
        </w:rPr>
        <w:t>02.04.2024</w:t>
      </w:r>
      <w:r w:rsidRPr="006569E2">
        <w:rPr>
          <w:rFonts w:ascii="Times New Roman" w:hAnsi="Times New Roman" w:cs="Times New Roman"/>
          <w:sz w:val="24"/>
          <w:szCs w:val="24"/>
        </w:rPr>
        <w:t>.</w:t>
      </w:r>
    </w:p>
    <w:p w:rsidR="006569E2" w:rsidRPr="006569E2" w:rsidRDefault="006569E2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9E2" w:rsidRPr="006569E2" w:rsidRDefault="006569E2" w:rsidP="006569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9E2">
        <w:rPr>
          <w:rFonts w:ascii="Times New Roman" w:hAnsi="Times New Roman" w:cs="Times New Roman"/>
          <w:sz w:val="24"/>
          <w:szCs w:val="24"/>
          <w:u w:val="single"/>
        </w:rPr>
        <w:t>Критерии приемлемости лизинговой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Лизингополучатель</w:t>
            </w:r>
          </w:p>
        </w:tc>
        <w:tc>
          <w:tcPr>
            <w:tcW w:w="594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1"/>
            </w:tblGrid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малого и среднего предпринимательства (далее – МСП):</w:t>
                  </w:r>
                </w:p>
              </w:tc>
            </w:tr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предприниматели;</w:t>
                  </w:r>
                </w:p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микроорганизации</w:t>
                  </w:r>
                  <w:proofErr w:type="spellEnd"/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малые организации;</w:t>
                  </w:r>
                </w:p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Критерии отбора лизингополучателя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1.   Средняя численность работников за предыдущий календарный год </w:t>
            </w:r>
            <w:proofErr w:type="gramStart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для: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микроорганизаций</w:t>
            </w:r>
            <w:proofErr w:type="spellEnd"/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– до 15 человек включительно;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- малых организаций – от 16 до 100 человек включительно;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- субъектов среднего предпринимательства – от 101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до 250 человек включительно.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2.   Объем выручки от реализации продукции, товаров, работ, услуг (без учета НДС) за предыдущий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год не должен превышать 35,0 млн. бел. руб.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к лизингополучателю (субъекту МСП)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 Является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предпринимателем или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коммерческой организацией – резидентом Республики Беларусь, зарегистрированным в соответствии с законодательством Республики Беларусь, осуществляет деятельность на территории Республики Беларусь. 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2.   Суммарная доля собственности нерезидентов Республики Беларусь не более чем 49 % уставного фонда субъекта МСП.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  Не имеет просроченной задолженности по активным операциям перед банками, в том числе перед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ОАО «Банк развития Республики Беларусь» и его дочерними организациями.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4.   Является независимым. Субъект МСП не признается независимым, если 25 % и более акций (долей его уставного фонда) принадлежит юридическому лицу, которое не удовлетворяет критериям классификации отбора лизингополучателя согласно Паспорту настоящей программы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 (или)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5.   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   Не является субъектом МСП, финансирование которого запрещено в соответствии со специальными экономическими мерами (за исключением сделок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белорусских рублях).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7.   Перечень документов в обязательном порядке должен включать следующие документы: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- письменное подтверждение наличия задолженности, ее размера либо отсутствия задолженности по 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Целевой сегмент субъектов МСП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МСП: вид экономической деятельности для реализации проекта относится к секциям А – В; секции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(за исключением подклассов 11010, 11040, 25400, 30400, раздела 12); секциям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 согласно ОКЭД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9E2" w:rsidRPr="006569E2" w:rsidTr="006569E2">
        <w:trPr>
          <w:trHeight w:val="2542"/>
        </w:trPr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деятельности субъекта МСП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целевому сегменту субъектов МСП; </w:t>
            </w:r>
          </w:p>
          <w:p w:rsidR="006569E2" w:rsidRPr="006569E2" w:rsidRDefault="006569E2" w:rsidP="006569E2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6569E2" w:rsidRPr="006569E2" w:rsidRDefault="006569E2" w:rsidP="006569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6569E2" w:rsidRPr="006569E2" w:rsidRDefault="006569E2" w:rsidP="006569E2">
            <w:pPr>
              <w:tabs>
                <w:tab w:val="left" w:pos="-108"/>
                <w:tab w:val="left" w:pos="5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 с производством алкогольных напитков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производства пива, сидра, вина и солода);</w:t>
            </w:r>
          </w:p>
          <w:p w:rsidR="006569E2" w:rsidRPr="006569E2" w:rsidRDefault="006569E2" w:rsidP="006569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со сферой игорного бизнеса, лотерейной деятельности, электронных интерактивных игр</w:t>
            </w:r>
          </w:p>
        </w:tc>
      </w:tr>
      <w:tr w:rsidR="006569E2" w:rsidRPr="006569E2" w:rsidTr="006569E2">
        <w:trPr>
          <w:trHeight w:val="603"/>
        </w:trPr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локальными правовыми актами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ОАО «Промагролизинг»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1.   В рамках настоящей программы не финансируются:</w:t>
            </w:r>
          </w:p>
          <w:p w:rsidR="006569E2" w:rsidRPr="006569E2" w:rsidRDefault="006569E2" w:rsidP="006569E2">
            <w:pPr>
              <w:pStyle w:val="aa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sz w:val="24"/>
                <w:szCs w:val="24"/>
              </w:rPr>
              <w:t>- </w:t>
            </w:r>
            <w:r w:rsidRPr="006569E2">
              <w:rPr>
                <w:rStyle w:val="a9"/>
                <w:sz w:val="24"/>
                <w:szCs w:val="24"/>
              </w:rPr>
              <w:t xml:space="preserve">строительство, техническая модернизация и приобретение всех типов жилых домов: одноквартирных и блокированных, многоквартирных, </w:t>
            </w:r>
            <w:r w:rsidRPr="006569E2">
              <w:rPr>
                <w:rStyle w:val="a9"/>
                <w:sz w:val="24"/>
                <w:szCs w:val="24"/>
              </w:rPr>
              <w:br/>
              <w:t xml:space="preserve">в </w:t>
            </w:r>
            <w:proofErr w:type="spellStart"/>
            <w:r w:rsidRPr="006569E2">
              <w:rPr>
                <w:rStyle w:val="a9"/>
                <w:sz w:val="24"/>
                <w:szCs w:val="24"/>
              </w:rPr>
              <w:t>т.ч</w:t>
            </w:r>
            <w:proofErr w:type="spellEnd"/>
            <w:r w:rsidRPr="006569E2">
              <w:rPr>
                <w:rStyle w:val="a9"/>
                <w:sz w:val="24"/>
                <w:szCs w:val="24"/>
              </w:rPr>
              <w:t>. многоэтажных, и квартир;</w:t>
            </w:r>
          </w:p>
          <w:p w:rsidR="006569E2" w:rsidRPr="006569E2" w:rsidRDefault="006569E2" w:rsidP="006569E2">
            <w:pPr>
              <w:pStyle w:val="aa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покупка легковых автомобилей;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 xml:space="preserve">- покупка имущества, непосредственно не связанного </w:t>
            </w:r>
            <w:r w:rsidRPr="006569E2">
              <w:rPr>
                <w:rStyle w:val="a9"/>
                <w:sz w:val="24"/>
                <w:szCs w:val="24"/>
              </w:rPr>
              <w:br/>
              <w:t xml:space="preserve">с производственной деятельностью/деятельностью </w:t>
            </w:r>
            <w:r w:rsidRPr="006569E2">
              <w:rPr>
                <w:rStyle w:val="a9"/>
                <w:sz w:val="24"/>
                <w:szCs w:val="24"/>
              </w:rPr>
              <w:br/>
              <w:t>по оказанию услуг.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2.   Субъект МСП обязан досрочно осуществить выкуп предмета лизинга при возникновении следующих случаев: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нецелевого использования средств (имущества) субъектом МСП;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прекращения субъектом МСП деятельности, профинансированной за счет средств ОАО «Банк развития Республики Беларусь»;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не осуществления субъектом МСП деятельности, профинансированной за счет средств ОАО «Банк развития Республики Беларусь».</w:t>
            </w:r>
          </w:p>
        </w:tc>
      </w:tr>
    </w:tbl>
    <w:p w:rsidR="006569E2" w:rsidRPr="006569E2" w:rsidRDefault="006569E2" w:rsidP="0065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9E2" w:rsidRPr="006569E2" w:rsidRDefault="006569E2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9E2" w:rsidRPr="006569E2" w:rsidSect="00656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58" w:rsidRDefault="001B2958" w:rsidP="006569E2">
      <w:pPr>
        <w:spacing w:after="0" w:line="240" w:lineRule="auto"/>
      </w:pPr>
      <w:r>
        <w:separator/>
      </w:r>
    </w:p>
  </w:endnote>
  <w:endnote w:type="continuationSeparator" w:id="0">
    <w:p w:rsidR="001B2958" w:rsidRDefault="001B2958" w:rsidP="0065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58" w:rsidRDefault="001B2958" w:rsidP="006569E2">
      <w:pPr>
        <w:spacing w:after="0" w:line="240" w:lineRule="auto"/>
      </w:pPr>
      <w:r>
        <w:separator/>
      </w:r>
    </w:p>
  </w:footnote>
  <w:footnote w:type="continuationSeparator" w:id="0">
    <w:p w:rsidR="001B2958" w:rsidRDefault="001B2958" w:rsidP="006569E2">
      <w:pPr>
        <w:spacing w:after="0" w:line="240" w:lineRule="auto"/>
      </w:pPr>
      <w:r>
        <w:continuationSeparator/>
      </w:r>
    </w:p>
  </w:footnote>
  <w:footnote w:id="1">
    <w:p w:rsidR="006569E2" w:rsidRPr="00D517C9" w:rsidRDefault="006569E2" w:rsidP="006569E2">
      <w:pPr>
        <w:pStyle w:val="a6"/>
        <w:rPr>
          <w:sz w:val="16"/>
          <w:szCs w:val="16"/>
        </w:rPr>
      </w:pPr>
      <w:r w:rsidRPr="00A62E6D">
        <w:rPr>
          <w:rStyle w:val="a8"/>
          <w:szCs w:val="18"/>
        </w:rPr>
        <w:footnoteRef/>
      </w:r>
      <w:r w:rsidRPr="00A62E6D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F"/>
    <w:rsid w:val="001B2958"/>
    <w:rsid w:val="002B4B17"/>
    <w:rsid w:val="003E18C4"/>
    <w:rsid w:val="005051ED"/>
    <w:rsid w:val="00541A8B"/>
    <w:rsid w:val="005C061F"/>
    <w:rsid w:val="00645EC4"/>
    <w:rsid w:val="006569E2"/>
    <w:rsid w:val="00664D2C"/>
    <w:rsid w:val="006817C3"/>
    <w:rsid w:val="0092779E"/>
    <w:rsid w:val="00A2011D"/>
    <w:rsid w:val="00E04D0A"/>
    <w:rsid w:val="00E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61536-07E2-4A61-82F5-EF954BC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9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rsid w:val="0065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56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569E2"/>
    <w:rPr>
      <w:vertAlign w:val="superscript"/>
    </w:rPr>
  </w:style>
  <w:style w:type="character" w:customStyle="1" w:styleId="a9">
    <w:name w:val="Другое_"/>
    <w:basedOn w:val="a0"/>
    <w:link w:val="aa"/>
    <w:rsid w:val="006569E2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6569E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Львовна Лавринович</dc:creator>
  <cp:keywords/>
  <dc:description/>
  <cp:lastModifiedBy>Татьяна Олеговна Жолнеркевич</cp:lastModifiedBy>
  <cp:revision>2</cp:revision>
  <cp:lastPrinted>2023-06-21T14:10:00Z</cp:lastPrinted>
  <dcterms:created xsi:type="dcterms:W3CDTF">2024-04-01T15:12:00Z</dcterms:created>
  <dcterms:modified xsi:type="dcterms:W3CDTF">2024-04-01T15:12:00Z</dcterms:modified>
</cp:coreProperties>
</file>