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1" w:rsidRDefault="00C129E1" w:rsidP="00C129E1">
      <w:pPr>
        <w:pStyle w:val="1"/>
        <w:spacing w:after="0"/>
      </w:pPr>
      <w:bookmarkStart w:id="0" w:name="_GoBack"/>
      <w:bookmarkEnd w:id="0"/>
      <w:r>
        <w:t>ИЗМЕНИЯ В СФЕРЕ СТРОИТЕЛЬСТВА В 2018 ГОДУ</w:t>
      </w:r>
    </w:p>
    <w:p w:rsidR="00C129E1" w:rsidRDefault="00C129E1" w:rsidP="00C129E1">
      <w:pPr>
        <w:pStyle w:val="a3"/>
        <w:spacing w:after="170"/>
        <w:ind w:firstLine="0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(Комментарий к Декрету от 23.11.2017 № 7 "О развитии предпринимательства")</w:t>
      </w:r>
    </w:p>
    <w:p w:rsidR="00C129E1" w:rsidRDefault="00C129E1" w:rsidP="00C129E1">
      <w:pPr>
        <w:pStyle w:val="3"/>
      </w:pPr>
      <w:r>
        <w:t xml:space="preserve">Антонина Петрушина, начальник управления нормативного правового обеспечения строительной отрасли </w:t>
      </w:r>
      <w:proofErr w:type="spellStart"/>
      <w:r>
        <w:t>Минстройархитектуры</w:t>
      </w:r>
      <w:proofErr w:type="spellEnd"/>
      <w:r>
        <w:t xml:space="preserve"> </w:t>
      </w:r>
    </w:p>
    <w:p w:rsidR="00C129E1" w:rsidRDefault="00C129E1" w:rsidP="00C129E1">
      <w:pPr>
        <w:pStyle w:val="a3"/>
      </w:pPr>
      <w:r>
        <w:t>23 ноября 2017 г. принят Декрет № 7 "О развитии предпринимательства" (далее – Декрет № 7), которым предусмотрен ряд мер, направленных на совершенствование и оптимизацию правового регулирования сферы строительства.</w:t>
      </w:r>
    </w:p>
    <w:p w:rsidR="00C129E1" w:rsidRDefault="00C129E1" w:rsidP="00C129E1">
      <w:pPr>
        <w:pStyle w:val="a3"/>
      </w:pPr>
      <w:r>
        <w:t>Декретом № 7 внесены корректировки в ряд действующих норм, а также введены новые нормы по не урегулированным ранее вопросам.</w:t>
      </w:r>
    </w:p>
    <w:p w:rsidR="00C129E1" w:rsidRDefault="00C129E1" w:rsidP="00C129E1">
      <w:pPr>
        <w:pStyle w:val="a3"/>
      </w:pPr>
      <w:r>
        <w:t>Проанализируем нормы Декрета № 7, которые вступают в силу с 26 февраля 2018 г., и нормы нормативных правовых актов, действующие в настоящий момент.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Уведомление о начале производства строительных материалов и изделий субъект хозяйствования должен представить в местный исполнительный и распорядительный орган</w:t>
      </w:r>
    </w:p>
    <w:p w:rsidR="00C129E1" w:rsidRDefault="00C129E1" w:rsidP="00C129E1">
      <w:pPr>
        <w:pStyle w:val="a3"/>
      </w:pPr>
      <w:r>
        <w:t>Декретом № 7 утвержден перечень видов экономической деятельности, о начале осуществления которых субъектами хозяйствования представляется уведомление в местный исполнительный и распорядительный орган (далее – перечень) (приложение к Декрету № 7) (</w:t>
      </w:r>
      <w:proofErr w:type="spellStart"/>
      <w:r>
        <w:t>подп</w:t>
      </w:r>
      <w:proofErr w:type="spellEnd"/>
      <w:r>
        <w:t>. 2.1 Декрета № 7).</w:t>
      </w:r>
    </w:p>
    <w:p w:rsidR="00C129E1" w:rsidRDefault="00C129E1" w:rsidP="00C129E1">
      <w:pPr>
        <w:pStyle w:val="a3"/>
      </w:pPr>
      <w:r>
        <w:t>Пункт 17 перечня содержит вид деятельности "Производство строительных материалов и изделий".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В настоящее время действующее законодательство такой нормы не содержит.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Разрешительная документация на капитальный ремонт и техническую модернизацию объектов не потребуется</w:t>
      </w:r>
    </w:p>
    <w:p w:rsidR="00C129E1" w:rsidRDefault="00C129E1" w:rsidP="00C129E1">
      <w:pPr>
        <w:pStyle w:val="a3"/>
      </w:pPr>
      <w:r>
        <w:t xml:space="preserve">Строительные работы при капитальном ремонте, работы по технической модернизации объектов </w:t>
      </w:r>
      <w:proofErr w:type="spellStart"/>
      <w:r>
        <w:t>субьекты</w:t>
      </w:r>
      <w:proofErr w:type="spellEnd"/>
      <w:r>
        <w:t xml:space="preserve"> хозяйствования выполняют на основании </w:t>
      </w:r>
      <w:r>
        <w:lastRenderedPageBreak/>
        <w:t xml:space="preserve">проектной документации без получения разрешительной документации, выдаваемой местными исполнительными и распорядительными органами. Субъект хозяйствования вправе приступить к выполнению работ при капитальном ремонте со дня, следующего за днем направления уведомления о проведении таких работ в органы государственного строительного надзора, в порядке, установленном Совмином (кроме объектов, на которых не осуществляется государственный строительный надзор) (абзац второй </w:t>
      </w:r>
      <w:proofErr w:type="spellStart"/>
      <w:r>
        <w:t>подп</w:t>
      </w:r>
      <w:proofErr w:type="spellEnd"/>
      <w:r>
        <w:t>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 xml:space="preserve">Действующая норма: </w:t>
      </w:r>
      <w:r>
        <w:t>Капитальный ремонт объекта осуществляется на основании разрешительной документации (ст. 21 Закона от 05.07.2004 № 300-З "Об архитектурной, градостроительной и строительной деятельности в Республике Беларусь" (далее – Закон № 300-З)).</w:t>
      </w:r>
    </w:p>
    <w:p w:rsidR="00C129E1" w:rsidRDefault="00C129E1" w:rsidP="00C129E1">
      <w:pPr>
        <w:pStyle w:val="a3"/>
      </w:pPr>
      <w:r>
        <w:t>Положение о порядке подготовки и выдачи разрешительной документации на строительство объектов утверждено постановлением Совмина от 20.02.2007 № 223.</w:t>
      </w:r>
    </w:p>
    <w:p w:rsidR="00C129E1" w:rsidRDefault="00C129E1" w:rsidP="00C129E1">
      <w:pPr>
        <w:pStyle w:val="a4"/>
      </w:pPr>
      <w:proofErr w:type="spellStart"/>
      <w:r>
        <w:t>Справочно</w:t>
      </w:r>
      <w:proofErr w:type="spellEnd"/>
      <w:r>
        <w:t xml:space="preserve">. </w:t>
      </w:r>
      <w:proofErr w:type="gramStart"/>
      <w:r>
        <w:t xml:space="preserve">Под технической модернизацией в целях Декрета № 7 понимается замена (установка нового) технологического оборудования с выполнением сопутствующих работ по устройству несущих оснований под оборудование, прокладке или замене отдельных внутренних инженерных сетей, связанных с функционированием технологического оборудования, устройству перегородок, отделочных и других работ, производимых внутри здания и не затрагивающих несущую способность конструкций (подстрочная ссылка № 15 к абзацу второму </w:t>
      </w:r>
      <w:proofErr w:type="spellStart"/>
      <w:r>
        <w:t>подп</w:t>
      </w:r>
      <w:proofErr w:type="spellEnd"/>
      <w:r>
        <w:t>. 4.4 Декрета № 7).</w:t>
      </w:r>
      <w:proofErr w:type="gramEnd"/>
    </w:p>
    <w:p w:rsidR="00C129E1" w:rsidRDefault="00C129E1" w:rsidP="00C129E1">
      <w:pPr>
        <w:pStyle w:val="a3"/>
      </w:pPr>
      <w:proofErr w:type="gramStart"/>
      <w:r>
        <w:t>Капитальный ремонт – совокупность работ, включая строительно-монтажные, пусконаладочные, и мероприятий по восстановлению утраченных в процессе эксплуатации технических, эксплуатационных и потребительских качеств объекта строительства, осуществляемых путем восстановления (усиления), улучшения и (или) замены отдельных конструкций, деталей, инженерно-технического оборудования объекта строительства, выполняемых в т.ч. с применением новых материалов и технологий (абзац шестнадцатый ст. 1 Закона № 300-З).</w:t>
      </w:r>
      <w:proofErr w:type="gramEnd"/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Арендатор, заключивший договор аренды, сможет выступать заказчиком по капитальному ремонту и технической модернизации арендуемых площадей</w:t>
      </w:r>
    </w:p>
    <w:p w:rsidR="00C129E1" w:rsidRDefault="00C129E1" w:rsidP="00C129E1">
      <w:pPr>
        <w:pStyle w:val="a3"/>
      </w:pPr>
      <w:r>
        <w:t xml:space="preserve">Техническая модернизация, капитальный ремонт объектов осуществляются собственниками объектов либо с их письменного согласия субъектами </w:t>
      </w:r>
      <w:r>
        <w:lastRenderedPageBreak/>
        <w:t xml:space="preserve">хозяйствования, у которых объекты находятся на ином вещном праве или на основании гражданско-правового договора (абзац второй </w:t>
      </w:r>
      <w:proofErr w:type="spellStart"/>
      <w:r>
        <w:t>подп</w:t>
      </w:r>
      <w:proofErr w:type="spellEnd"/>
      <w:r>
        <w:t>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В настоящее время действующее законодательство такой нормы не содержит </w:t>
      </w:r>
      <w:r w:rsidRPr="00A0166B">
        <w:t>и заказчиком строительства, в т.ч. модернизации и капитального ремонта объектов, вправе выступить только собственник объекта.</w:t>
      </w:r>
    </w:p>
    <w:p w:rsidR="00C129E1" w:rsidRPr="0045078A" w:rsidRDefault="00C129E1" w:rsidP="00C129E1">
      <w:pPr>
        <w:pStyle w:val="a4"/>
      </w:pPr>
      <w:r>
        <w:t xml:space="preserve">Примечание. Согласно действующему законодательству бухгалтерский учет затрат на строительство (в т.ч. модернизацию, капитальный ремонт) осуществляется заказчиком, застройщиком (п. 3 </w:t>
      </w:r>
      <w:hyperlink r:id="rId6" w:history="1">
        <w:r>
          <w:t>Инструкции</w:t>
        </w:r>
      </w:hyperlink>
      <w:r>
        <w:t xml:space="preserve"> о порядке формирования стоимости объекта строительства в бухгалтерском учете, утвержденной постановлением </w:t>
      </w:r>
      <w:proofErr w:type="spellStart"/>
      <w:r>
        <w:t>Минстройархитектуры</w:t>
      </w:r>
      <w:proofErr w:type="spellEnd"/>
      <w:r>
        <w:t xml:space="preserve"> от 14.05.2007 № 10). </w:t>
      </w:r>
      <w:r w:rsidRPr="0045078A">
        <w:t>В связи с принятием изменений затраты по строительству сразу будут аккумулироваться в бухгалтерском учете арендатора, который будет являться заказчиком.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Для выполнения капитального ремонта и технической модернизации объекта наличие аттестата соответствия заказчика не потребуется</w:t>
      </w:r>
    </w:p>
    <w:p w:rsidR="00C129E1" w:rsidRDefault="00C129E1" w:rsidP="00C129E1">
      <w:pPr>
        <w:pStyle w:val="a3"/>
      </w:pPr>
      <w:proofErr w:type="spellStart"/>
      <w:r>
        <w:t>Субьектам</w:t>
      </w:r>
      <w:proofErr w:type="spellEnd"/>
      <w:r>
        <w:t xml:space="preserve"> хозяйствования для выполнения работ по технической модернизации, капитальному ремонту объектов наличие аттестата соответствия не требуется (абзац второй </w:t>
      </w:r>
      <w:proofErr w:type="spellStart"/>
      <w:r>
        <w:t>подп</w:t>
      </w:r>
      <w:proofErr w:type="spellEnd"/>
      <w:r>
        <w:t>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</w:t>
      </w:r>
      <w:proofErr w:type="gramStart"/>
      <w:r>
        <w:t>Заказчик, застройщик должен иметь аттестат соответствия, выдаваемый в порядке, установленном Совмином (</w:t>
      </w:r>
      <w:bookmarkStart w:id="1" w:name="a99"/>
      <w:bookmarkEnd w:id="1"/>
      <w:proofErr w:type="spellStart"/>
      <w:r w:rsidRPr="00A0166B">
        <w:t>подп</w:t>
      </w:r>
      <w:proofErr w:type="spellEnd"/>
      <w:r w:rsidRPr="00A0166B">
        <w:t>. 1.11.</w:t>
      </w:r>
      <w:proofErr w:type="gramEnd"/>
      <w:r w:rsidRPr="00A0166B">
        <w:t xml:space="preserve"> </w:t>
      </w:r>
      <w:proofErr w:type="gramStart"/>
      <w:r w:rsidRPr="00A0166B">
        <w:t>Указа</w:t>
      </w:r>
      <w:r>
        <w:t xml:space="preserve"> от 14.01.2014 № 26 "О мерах по совершенствованию строительной деятельности (далее – Указ № 26)).</w:t>
      </w:r>
      <w:proofErr w:type="gramEnd"/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Заказчики получат технические условия на инженерно-техническое обеспечение объекта по форме, установленной Совмином</w:t>
      </w:r>
    </w:p>
    <w:p w:rsidR="00C129E1" w:rsidRDefault="00C129E1" w:rsidP="00C129E1">
      <w:pPr>
        <w:pStyle w:val="a3"/>
      </w:pPr>
      <w:r>
        <w:t xml:space="preserve">Субъекты хозяйствования при осуществлении экономической деятельности получают технические условия на инженерно-техническое обеспечение объекта, включенные в состав разрешительной документации на строительство объекта и выдаваемые заказчику, застройщику по форме, установленной Совмином. В эти технические условия должна быть включена необходимая для проектирования и строительства информация, в т.ч. связанная с присоединением к газораспределительной системе, электрической сети, тепловым сетям, системам водоснабжения, водоотведения (канализации) и дождевой канализации (абзац третий </w:t>
      </w:r>
      <w:proofErr w:type="spellStart"/>
      <w:r>
        <w:t>подп</w:t>
      </w:r>
      <w:proofErr w:type="spellEnd"/>
      <w:r>
        <w:t>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lastRenderedPageBreak/>
        <w:t>Действующая норма:</w:t>
      </w:r>
      <w:r>
        <w:t xml:space="preserve"> В настоящее время действующим законодательством данный вопрос не урегулирован.</w:t>
      </w:r>
    </w:p>
    <w:p w:rsidR="00C129E1" w:rsidRPr="000A0510" w:rsidRDefault="00C129E1" w:rsidP="00C129E1">
      <w:pPr>
        <w:pStyle w:val="2"/>
        <w:rPr>
          <w:highlight w:val="yellow"/>
          <w:lang w:val="ru-RU"/>
        </w:rPr>
      </w:pPr>
      <w:r w:rsidRPr="009C1BC4">
        <w:rPr>
          <w:b w:val="0"/>
          <w:color w:val="4F81BD" w:themeColor="accent1"/>
          <w:lang w:val="ru-RU"/>
        </w:rPr>
        <w:tab/>
      </w:r>
      <w:r w:rsidRPr="00A0166B">
        <w:rPr>
          <w:lang w:val="ru-RU"/>
        </w:rPr>
        <w:t>Установлен уведомительный порядок информирования органов государственного строительного надзора о начале производства строительно-монтажных работ. Сокращен срок действия заключения органов государственной экспертизы.</w:t>
      </w:r>
      <w:r w:rsidRPr="000A0510">
        <w:rPr>
          <w:highlight w:val="yellow"/>
          <w:lang w:val="ru-RU"/>
        </w:rPr>
        <w:t xml:space="preserve"> </w:t>
      </w:r>
    </w:p>
    <w:p w:rsidR="00C129E1" w:rsidRPr="009C1BC4" w:rsidRDefault="00C129E1" w:rsidP="00C129E1">
      <w:pPr>
        <w:pStyle w:val="2"/>
        <w:rPr>
          <w:lang w:val="ru-RU"/>
        </w:rPr>
      </w:pPr>
    </w:p>
    <w:p w:rsidR="00C129E1" w:rsidRPr="00A0166B" w:rsidRDefault="00C129E1" w:rsidP="00C129E1">
      <w:pPr>
        <w:pStyle w:val="a3"/>
      </w:pPr>
      <w:r w:rsidRPr="00E966C0">
        <w:rPr>
          <w:rFonts w:ascii="Arial" w:hAnsi="Arial" w:cs="Arial"/>
          <w:b/>
          <w:color w:val="4F81BD" w:themeColor="accent1"/>
          <w:sz w:val="20"/>
          <w:szCs w:val="20"/>
        </w:rPr>
        <w:tab/>
      </w:r>
      <w:proofErr w:type="gramStart"/>
      <w:r w:rsidRPr="00A0166B">
        <w:t xml:space="preserve">При наличии положительного заключения государственной экспертизы по проектной документации (а в случаях, когда государственная экспертиза проектной документации не является обязательной - при наличии проектной документации) на строительство объектов </w:t>
      </w:r>
      <w:r w:rsidRPr="00A0166B">
        <w:rPr>
          <w:i/>
        </w:rPr>
        <w:t xml:space="preserve">производство строительно-монтажных работ на объектах строительства осуществляется  после направления уведомления </w:t>
      </w:r>
      <w:r w:rsidRPr="00A0166B">
        <w:t>заказным почтовым отправлением с уведомлением о вручении или в виде электронного документа в органы государственного строительного надзора в порядке, установленном Совмином.</w:t>
      </w:r>
      <w:proofErr w:type="gramEnd"/>
      <w:r w:rsidRPr="00A0166B">
        <w:t xml:space="preserve"> </w:t>
      </w:r>
      <w:proofErr w:type="gramStart"/>
      <w:r w:rsidRPr="00A0166B">
        <w:t>Заключение органов государственной экспертизы по проектной документации утрачивает силу в случае, если производство строительно-монтажных работ не начато</w:t>
      </w:r>
      <w:r w:rsidRPr="00A0166B">
        <w:rPr>
          <w:i/>
        </w:rPr>
        <w:t xml:space="preserve"> в течение двух лет </w:t>
      </w:r>
      <w:r w:rsidRPr="00A0166B">
        <w:t xml:space="preserve"> после его получения (абзац шестой </w:t>
      </w:r>
      <w:proofErr w:type="spellStart"/>
      <w:r w:rsidRPr="00A0166B">
        <w:t>подп</w:t>
      </w:r>
      <w:proofErr w:type="spellEnd"/>
      <w:r w:rsidRPr="00A0166B">
        <w:t>. 4.4.</w:t>
      </w:r>
      <w:proofErr w:type="gramEnd"/>
      <w:r w:rsidRPr="00A0166B">
        <w:t xml:space="preserve"> Декрета № 7). </w:t>
      </w:r>
    </w:p>
    <w:p w:rsidR="00C129E1" w:rsidRPr="00A0166B" w:rsidRDefault="00C129E1" w:rsidP="00C129E1">
      <w:pPr>
        <w:pStyle w:val="a3"/>
      </w:pPr>
      <w:r w:rsidRPr="00A0166B">
        <w:tab/>
      </w:r>
      <w:r w:rsidRPr="00A0166B">
        <w:rPr>
          <w:b/>
          <w:bCs/>
        </w:rPr>
        <w:t>Действующая норма:</w:t>
      </w:r>
      <w:r w:rsidRPr="00A0166B">
        <w:t xml:space="preserve"> </w:t>
      </w:r>
    </w:p>
    <w:p w:rsidR="00C129E1" w:rsidRPr="000A0510" w:rsidRDefault="00C129E1" w:rsidP="00C129E1">
      <w:pPr>
        <w:pStyle w:val="a3"/>
        <w:rPr>
          <w:highlight w:val="green"/>
        </w:rPr>
      </w:pPr>
      <w:r w:rsidRPr="00A0166B">
        <w:t>Разрешение на производство строительно-монтажных работ выдается заказчику, застройщику органами государственного строительного надзора (п.1 ст.23  Закона №300-3).</w:t>
      </w:r>
    </w:p>
    <w:p w:rsidR="00C129E1" w:rsidRPr="000A0510" w:rsidRDefault="00C129E1" w:rsidP="00C129E1">
      <w:pPr>
        <w:pStyle w:val="a3"/>
      </w:pPr>
      <w:r w:rsidRPr="00A0166B">
        <w:tab/>
        <w:t>Срок действия заключения государственной экспертизы по проектной документации ограничивается проектной продолжительностью строительства объекта, увеличенной на один год (п. 5 ст. 32 Закона №300-З).</w:t>
      </w:r>
      <w:r w:rsidRPr="000A0510">
        <w:t xml:space="preserve">  </w:t>
      </w:r>
    </w:p>
    <w:p w:rsidR="00C129E1" w:rsidRPr="00B2565B" w:rsidRDefault="00C129E1" w:rsidP="00C129E1">
      <w:pPr>
        <w:pStyle w:val="a6"/>
        <w:spacing w:after="1" w:line="300" w:lineRule="atLeast"/>
        <w:ind w:left="0" w:firstLine="0"/>
        <w:outlineLvl w:val="0"/>
        <w:rPr>
          <w:color w:val="4F81BD" w:themeColor="accent1"/>
        </w:rPr>
      </w:pPr>
    </w:p>
    <w:p w:rsidR="00C129E1" w:rsidRPr="00DB257A" w:rsidRDefault="00C129E1" w:rsidP="00C129E1">
      <w:pPr>
        <w:pStyle w:val="2"/>
        <w:rPr>
          <w:lang w:val="ru-RU"/>
        </w:rPr>
      </w:pPr>
      <w:r w:rsidRPr="00940F2C">
        <w:rPr>
          <w:color w:val="4F81BD" w:themeColor="accent1"/>
          <w:lang w:val="ru-RU"/>
        </w:rPr>
        <w:tab/>
      </w:r>
      <w:r w:rsidRPr="00DB257A">
        <w:rPr>
          <w:lang w:val="ru-RU"/>
        </w:rPr>
        <w:t>При строительстве объектов "под ключ" генеральный подрядчик осуществляет все функции, за исключением технического надзора</w:t>
      </w:r>
    </w:p>
    <w:p w:rsidR="00C129E1" w:rsidRPr="004C53AB" w:rsidRDefault="00C129E1" w:rsidP="00C129E1">
      <w:pPr>
        <w:pStyle w:val="a3"/>
        <w:rPr>
          <w:sz w:val="20"/>
          <w:szCs w:val="20"/>
        </w:rPr>
      </w:pPr>
      <w:r w:rsidRPr="004C53AB">
        <w:rPr>
          <w:sz w:val="20"/>
          <w:szCs w:val="20"/>
        </w:rPr>
        <w:t xml:space="preserve">Субъекты хозяйствования при строительстве объектов "под ключ" оказывают </w:t>
      </w:r>
      <w:r w:rsidRPr="004C53AB">
        <w:rPr>
          <w:sz w:val="20"/>
          <w:szCs w:val="20"/>
        </w:rPr>
        <w:lastRenderedPageBreak/>
        <w:t xml:space="preserve">заказчику весь комплекс инженерных услуг, кроме осуществления технического надзора за строительством, а также функций, которые относятся к компетенции заказчика и при выполнении которых не требуется получение аттестата соответствия заказчика (абзац седьмой </w:t>
      </w:r>
      <w:proofErr w:type="spellStart"/>
      <w:r w:rsidRPr="004C53AB">
        <w:rPr>
          <w:sz w:val="20"/>
          <w:szCs w:val="20"/>
        </w:rPr>
        <w:t>подп</w:t>
      </w:r>
      <w:proofErr w:type="spellEnd"/>
      <w:r w:rsidRPr="004C53AB">
        <w:rPr>
          <w:sz w:val="20"/>
          <w:szCs w:val="20"/>
        </w:rPr>
        <w:t>. 4.4 Декрета № 7).</w:t>
      </w:r>
    </w:p>
    <w:p w:rsidR="00C129E1" w:rsidRDefault="00C129E1" w:rsidP="00C129E1">
      <w:pPr>
        <w:pStyle w:val="a4"/>
      </w:pPr>
      <w:proofErr w:type="spellStart"/>
      <w:r>
        <w:t>Справочно</w:t>
      </w:r>
      <w:proofErr w:type="spellEnd"/>
      <w:r>
        <w:t xml:space="preserve">. </w:t>
      </w:r>
      <w:proofErr w:type="gramStart"/>
      <w:r>
        <w:t xml:space="preserve">Для целей Декрета № 7 под строительством объекта "под ключ" понимается осуществление генеральным подрядчиком по договору, заключенному на основании утвержденной </w:t>
      </w:r>
      <w:proofErr w:type="spellStart"/>
      <w:r>
        <w:t>предпроектной</w:t>
      </w:r>
      <w:proofErr w:type="spellEnd"/>
      <w:r>
        <w:t xml:space="preserve"> (</w:t>
      </w:r>
      <w:proofErr w:type="spellStart"/>
      <w:r>
        <w:t>предынвестиционной</w:t>
      </w:r>
      <w:proofErr w:type="spellEnd"/>
      <w:r>
        <w:t xml:space="preserve">) документации, по договорной цене работ по получению исходной и разрешительной документации, проектированию, строительству, выполнению части функций заказчика по управлению строительством, пусконаладочных работ, работ по приемке объекта в эксплуатацию и передаче его заказчику (подстрочная сноска № 22 к абзацу седьмому </w:t>
      </w:r>
      <w:proofErr w:type="spellStart"/>
      <w:r>
        <w:t>подп</w:t>
      </w:r>
      <w:proofErr w:type="spellEnd"/>
      <w:proofErr w:type="gramEnd"/>
      <w:r>
        <w:t>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В настоящее время действующим законодательством данный вопрос не урегулирован. Термин "строительство под ключ" определен в Правилах заключения и исполнения договоров строительного подряда, утвержденных постановлением Совмина от 15.09.1998 № 1450 (далее – Правила № 1450).</w:t>
      </w:r>
    </w:p>
    <w:p w:rsidR="00C129E1" w:rsidRDefault="00C129E1" w:rsidP="00C129E1">
      <w:pPr>
        <w:pStyle w:val="a3"/>
      </w:pPr>
      <w:r>
        <w:t>Так, определено, что строительство объекта "под ключ" – осуществление строительной деятельности подрядчиком (генеральным подрядчиком), выполняющим весь комплекс работ от изысканий и проектирования до сдачи объекта заказчику, в т.ч. с привлечением других организаций (абзац восьмой п. 3 Правил № 1450).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Установлены сокращенный и исчерпывающий перечни функций заказчика, не подлежащих передаче инженерной организации</w:t>
      </w:r>
    </w:p>
    <w:p w:rsidR="00C129E1" w:rsidRDefault="00C129E1" w:rsidP="00C129E1">
      <w:pPr>
        <w:pStyle w:val="a3"/>
      </w:pPr>
      <w:r>
        <w:t>Не подлежат передаче инженерной организации следующие функции заказчика:</w:t>
      </w:r>
    </w:p>
    <w:p w:rsidR="00C129E1" w:rsidRDefault="00C129E1" w:rsidP="00C129E1">
      <w:pPr>
        <w:pStyle w:val="a3"/>
      </w:pPr>
      <w:r>
        <w:t>а) принятие решения о строительстве объекта;</w:t>
      </w:r>
    </w:p>
    <w:p w:rsidR="00C129E1" w:rsidRDefault="00C129E1" w:rsidP="00C129E1">
      <w:pPr>
        <w:pStyle w:val="a3"/>
      </w:pPr>
      <w:r>
        <w:t>б) утверждение проектной документации;</w:t>
      </w:r>
    </w:p>
    <w:p w:rsidR="00C129E1" w:rsidRDefault="00C129E1" w:rsidP="00C129E1">
      <w:pPr>
        <w:pStyle w:val="a3"/>
      </w:pPr>
      <w:r>
        <w:t xml:space="preserve">в) обеспечение финансирования объекта строительства и </w:t>
      </w:r>
      <w:proofErr w:type="gramStart"/>
      <w:r>
        <w:t>контроля за</w:t>
      </w:r>
      <w:proofErr w:type="gramEnd"/>
      <w:r>
        <w:t xml:space="preserve"> расходованием средств, направляемых на его финансирование;</w:t>
      </w:r>
    </w:p>
    <w:p w:rsidR="00C129E1" w:rsidRDefault="00C129E1" w:rsidP="00C129E1">
      <w:pPr>
        <w:pStyle w:val="a3"/>
      </w:pPr>
      <w:r>
        <w:t>г) принятие решения о консервации незавершенного объекта строительства, о продлении срока строительства объекта;</w:t>
      </w:r>
    </w:p>
    <w:p w:rsidR="00C129E1" w:rsidRDefault="00C129E1" w:rsidP="00C129E1">
      <w:pPr>
        <w:pStyle w:val="a3"/>
      </w:pPr>
      <w:proofErr w:type="spellStart"/>
      <w:r>
        <w:t>д</w:t>
      </w:r>
      <w:proofErr w:type="spellEnd"/>
      <w:r>
        <w:t xml:space="preserve">) утверждение состава приемочной комиссии и акта приемки объекта строительства в эксплуатацию (абзац восьмой </w:t>
      </w:r>
      <w:proofErr w:type="spellStart"/>
      <w:r>
        <w:t>подп</w:t>
      </w:r>
      <w:proofErr w:type="spellEnd"/>
      <w:r>
        <w:t>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Не подлежат передаче инженерной организации </w:t>
      </w:r>
      <w:r>
        <w:lastRenderedPageBreak/>
        <w:t>следующие функции заказчика:</w:t>
      </w:r>
    </w:p>
    <w:p w:rsidR="00C129E1" w:rsidRDefault="00C129E1" w:rsidP="00C129E1">
      <w:pPr>
        <w:pStyle w:val="a5"/>
      </w:pPr>
      <w:r>
        <w:t>принятие решения о строительстве объекта и (или) выполнении строительных, специальных, монтажных, пусконаладочных работ;</w:t>
      </w:r>
    </w:p>
    <w:p w:rsidR="00C129E1" w:rsidRDefault="00C129E1" w:rsidP="00C129E1">
      <w:pPr>
        <w:pStyle w:val="a5"/>
      </w:pPr>
      <w:r>
        <w:t>получение предусмотренных законодательством разрешений соответствующих организаций на производство работ, в т.ч. строительно-монтажных работ, на пользование в период строительства электроэнергией, газом, водой, паром, на рубку леса, на удаление и (или) пересадку объектов растительного мира, а в необходимых случаях – получение и передача лесорубочных билетов;</w:t>
      </w:r>
    </w:p>
    <w:p w:rsidR="00C129E1" w:rsidRDefault="00C129E1" w:rsidP="00C129E1">
      <w:pPr>
        <w:pStyle w:val="a5"/>
      </w:pPr>
      <w:r>
        <w:t>утверждение проектно-сметной документации;</w:t>
      </w:r>
    </w:p>
    <w:p w:rsidR="00C129E1" w:rsidRDefault="00C129E1" w:rsidP="00C129E1">
      <w:pPr>
        <w:pStyle w:val="a5"/>
      </w:pPr>
      <w:r>
        <w:t>принятие от разработчиков проектной документации, передача ее подрядчику с отметками "К производству работ", за исключением случаев, когда инженер (инженерная организация) заключил совместно с заказчиком, застройщиком договор строительного подряда либо договором строительного подряда предусмотрена обязанность подрядчика разработать проектную документацию;</w:t>
      </w:r>
    </w:p>
    <w:p w:rsidR="00C129E1" w:rsidRDefault="00C129E1" w:rsidP="00C129E1">
      <w:pPr>
        <w:pStyle w:val="a5"/>
      </w:pPr>
      <w:r>
        <w:t>передача подрядчику строительной площадки, за исключением случаев, когда инженер (инженерная организация) заключил совместно с заказчиком, застройщиком договор строительного подряда;</w:t>
      </w:r>
    </w:p>
    <w:p w:rsidR="00C129E1" w:rsidRDefault="00C129E1" w:rsidP="00C129E1">
      <w:pPr>
        <w:pStyle w:val="a5"/>
      </w:pPr>
      <w:r>
        <w:t>принятие решения о консервации объекта строительства, о продлении срока строительства;</w:t>
      </w:r>
    </w:p>
    <w:p w:rsidR="00C129E1" w:rsidRDefault="00C129E1" w:rsidP="00C129E1">
      <w:pPr>
        <w:pStyle w:val="a5"/>
      </w:pPr>
      <w:r>
        <w:t>утверждение состава приемочной комиссии и акта приемки объекта в эксплуатацию;</w:t>
      </w:r>
    </w:p>
    <w:p w:rsidR="00C129E1" w:rsidRDefault="00C129E1" w:rsidP="00C129E1">
      <w:pPr>
        <w:pStyle w:val="a5"/>
      </w:pPr>
      <w:r>
        <w:t>иные функции, которые в соответствии с законодательством и договором осуществляются исключительно заказчиком, застройщиком</w:t>
      </w:r>
    </w:p>
    <w:p w:rsidR="00C129E1" w:rsidRDefault="00C129E1" w:rsidP="00C129E1">
      <w:pPr>
        <w:pStyle w:val="a3"/>
        <w:ind w:firstLine="0"/>
      </w:pPr>
      <w:r>
        <w:t xml:space="preserve">(п. 9 Инструкции о порядке оказания инженерных услуг в строительстве, утвержденной постановлением </w:t>
      </w:r>
      <w:proofErr w:type="spellStart"/>
      <w:r>
        <w:t>Минстройархитектуры</w:t>
      </w:r>
      <w:proofErr w:type="spellEnd"/>
      <w:r>
        <w:t xml:space="preserve"> от 10.05.2011 № 18).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 xml:space="preserve">Сокращен срок резервирования денежных средств на специальном счете </w:t>
      </w:r>
    </w:p>
    <w:p w:rsidR="00C129E1" w:rsidRDefault="00C129E1" w:rsidP="00C129E1">
      <w:pPr>
        <w:pStyle w:val="a3"/>
      </w:pPr>
      <w:proofErr w:type="gramStart"/>
      <w:r>
        <w:t xml:space="preserve">Субъекты хозяйствования при осуществлении экономической деятельности резервируют (в случае выбора такой формы обеспечения обязательств) </w:t>
      </w:r>
      <w:r w:rsidRPr="000A0510">
        <w:rPr>
          <w:i/>
        </w:rPr>
        <w:t>сроком на 2 года</w:t>
      </w:r>
      <w:r>
        <w:t xml:space="preserve"> денежные средства на специальном счете в размере 1,5 % стоимости выполненных на объектах строительства жилищного, социально-культурного, коммунально-бытового назначения работ в целях устранения результата </w:t>
      </w:r>
      <w:r>
        <w:lastRenderedPageBreak/>
        <w:t xml:space="preserve">строительных, специальных, монтажных работ ненадлежащего качества (далее – результат работ ненадлежащего качества) (абзац девятый </w:t>
      </w:r>
      <w:proofErr w:type="spellStart"/>
      <w:r>
        <w:t>подп</w:t>
      </w:r>
      <w:proofErr w:type="spellEnd"/>
      <w:r>
        <w:t>. 4.4 Декрета № 7).</w:t>
      </w:r>
      <w:proofErr w:type="gramEnd"/>
    </w:p>
    <w:p w:rsidR="00C129E1" w:rsidRDefault="00C129E1" w:rsidP="00C129E1">
      <w:pPr>
        <w:pStyle w:val="a3"/>
      </w:pPr>
      <w:r>
        <w:rPr>
          <w:b/>
          <w:bCs/>
        </w:rPr>
        <w:t xml:space="preserve">Действующая норма: </w:t>
      </w:r>
      <w:r>
        <w:t xml:space="preserve">Средства для обеспечения исполнения обязательств по устранению результата работ ненадлежащего качества резервируются </w:t>
      </w:r>
      <w:r w:rsidRPr="000A0510">
        <w:rPr>
          <w:i/>
        </w:rPr>
        <w:t>на период действия гарантийного срока</w:t>
      </w:r>
      <w:r>
        <w:t xml:space="preserve"> эксплуатации объекта (абзац второй части первой </w:t>
      </w:r>
      <w:proofErr w:type="spellStart"/>
      <w:r>
        <w:t>подп</w:t>
      </w:r>
      <w:proofErr w:type="spellEnd"/>
      <w:r>
        <w:t>. 1.14 Указа № 26; п. 2 Положения о порядке резервирования подрядчиком сре</w:t>
      </w:r>
      <w:proofErr w:type="gramStart"/>
      <w:r>
        <w:t>дств дл</w:t>
      </w:r>
      <w:proofErr w:type="gramEnd"/>
      <w:r>
        <w:t>я обеспечения устранения результата строительных, специальных, монтажных работ ненадлежащего качества, выявленного в период гарантийного срока эксплуатации объекта строительства, их учета, расходования, в том числе перечисления в местный бюджет, утвержденного постановлением Совмина от 01.04.2014 № 299).</w:t>
      </w:r>
    </w:p>
    <w:p w:rsidR="00C129E1" w:rsidRPr="000A0510" w:rsidRDefault="00C129E1" w:rsidP="00C129E1">
      <w:pPr>
        <w:pStyle w:val="a3"/>
      </w:pPr>
      <w:r w:rsidRPr="00A0166B">
        <w:t>На принятые в эксплуатацию объекты и выполненные строительные работы, являющиеся предметом договора, установлен гарантийный срок пять лет (п.</w:t>
      </w:r>
      <w:r w:rsidRPr="00A0166B">
        <w:rPr>
          <w:b/>
          <w:color w:val="4F81BD" w:themeColor="accent1"/>
        </w:rPr>
        <w:t xml:space="preserve"> </w:t>
      </w:r>
      <w:r w:rsidRPr="00A0166B">
        <w:t>66 Правил № 1450).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Отменена процедура закупки при строительстве объектов за счет собственных средств</w:t>
      </w:r>
    </w:p>
    <w:p w:rsidR="00C129E1" w:rsidRDefault="00C129E1" w:rsidP="00C129E1">
      <w:pPr>
        <w:pStyle w:val="a3"/>
      </w:pPr>
      <w:r>
        <w:t>Установленные законодательством требования о закупках товаров (работ, услуг) при строительстве применятся только в случае осуществления закупок с привлечением полностью или частично бюджетных и приравненных к ним средств</w:t>
      </w:r>
      <w:r>
        <w:rPr>
          <w:vertAlign w:val="superscript"/>
        </w:rPr>
        <w:footnoteReference w:id="1"/>
      </w:r>
      <w:r>
        <w:t xml:space="preserve">, а также при осуществлении аварийно-восстановительного ремонта капитальных строений (зданий, сооружений) (абзац тринадцатый </w:t>
      </w:r>
      <w:proofErr w:type="spellStart"/>
      <w:r>
        <w:t>подп</w:t>
      </w:r>
      <w:proofErr w:type="spellEnd"/>
      <w:r>
        <w:t>. 4.4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</w:t>
      </w:r>
      <w:proofErr w:type="gramStart"/>
      <w:r>
        <w:t>Закупки товаров (работ, услуг) при строительстве объектов, финансируемых за счет собственных средств заказчиков, за исключением средств государственных организаций и хозяйственных обществ, акции (доли в уставном фонде) которых находятся в государственной собственности, осуществляются по выбору заказчика путем проведения подрядных торгов (торгов), биржевых торгов, переговоров, если иное не установлено Президентом Республики Беларусь (</w:t>
      </w:r>
      <w:proofErr w:type="spellStart"/>
      <w:r>
        <w:t>подп</w:t>
      </w:r>
      <w:proofErr w:type="spellEnd"/>
      <w:r>
        <w:t>. 7</w:t>
      </w:r>
      <w:r>
        <w:rPr>
          <w:vertAlign w:val="superscript"/>
        </w:rPr>
        <w:t>2</w:t>
      </w:r>
      <w:r>
        <w:t xml:space="preserve"> </w:t>
      </w:r>
      <w:hyperlink r:id="rId7" w:history="1">
        <w:r>
          <w:t>Положения</w:t>
        </w:r>
      </w:hyperlink>
      <w:r>
        <w:t xml:space="preserve"> о порядке организации и проведения процедур закупок</w:t>
      </w:r>
      <w:proofErr w:type="gramEnd"/>
      <w:r>
        <w:t xml:space="preserve"> товаров (работ, </w:t>
      </w:r>
      <w:r>
        <w:lastRenderedPageBreak/>
        <w:t>услуг) при строительстве объектов, утвержденного постановлением Совмина от 31.01.2014 № 88).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 xml:space="preserve">Для разработки </w:t>
      </w:r>
      <w:proofErr w:type="spellStart"/>
      <w:r w:rsidRPr="0045078A">
        <w:rPr>
          <w:lang w:val="ru-RU"/>
        </w:rPr>
        <w:t>предпроектной</w:t>
      </w:r>
      <w:proofErr w:type="spellEnd"/>
      <w:r w:rsidRPr="0045078A">
        <w:rPr>
          <w:lang w:val="ru-RU"/>
        </w:rPr>
        <w:t xml:space="preserve"> (</w:t>
      </w:r>
      <w:proofErr w:type="spellStart"/>
      <w:r w:rsidRPr="0045078A">
        <w:rPr>
          <w:lang w:val="ru-RU"/>
        </w:rPr>
        <w:t>предынвестиционной</w:t>
      </w:r>
      <w:proofErr w:type="spellEnd"/>
      <w:r w:rsidRPr="0045078A">
        <w:rPr>
          <w:lang w:val="ru-RU"/>
        </w:rPr>
        <w:t>) документации аттестат соответствия не требуется</w:t>
      </w:r>
    </w:p>
    <w:p w:rsidR="00C129E1" w:rsidRDefault="00C129E1" w:rsidP="00C129E1">
      <w:pPr>
        <w:pStyle w:val="a3"/>
      </w:pPr>
      <w:r>
        <w:t xml:space="preserve">Субъекты хозяйствования вправе без наличия аттестата соответствия, выдаваемого в порядке, установленном Совмином, осуществлять разработку </w:t>
      </w:r>
      <w:proofErr w:type="spellStart"/>
      <w:r>
        <w:t>предпроектной</w:t>
      </w:r>
      <w:proofErr w:type="spellEnd"/>
      <w:r>
        <w:t xml:space="preserve"> (</w:t>
      </w:r>
      <w:proofErr w:type="spellStart"/>
      <w:r>
        <w:t>предынвестиционной</w:t>
      </w:r>
      <w:proofErr w:type="spellEnd"/>
      <w:r>
        <w:t xml:space="preserve">) документации (абзац четырнадцатый </w:t>
      </w:r>
      <w:proofErr w:type="spellStart"/>
      <w:r>
        <w:t>подп</w:t>
      </w:r>
      <w:proofErr w:type="spellEnd"/>
      <w:r>
        <w:t>. 4.4 Декрета № 7).</w:t>
      </w:r>
    </w:p>
    <w:p w:rsidR="00C129E1" w:rsidRPr="000A0510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</w:t>
      </w:r>
      <w:proofErr w:type="spellStart"/>
      <w:r>
        <w:t>Предпроектная</w:t>
      </w:r>
      <w:proofErr w:type="spellEnd"/>
      <w:r>
        <w:t xml:space="preserve"> (</w:t>
      </w:r>
      <w:proofErr w:type="spellStart"/>
      <w:r>
        <w:t>предынвестиционная</w:t>
      </w:r>
      <w:proofErr w:type="spellEnd"/>
      <w:r>
        <w:t>) документация разрабатывается заказчиком, застройщиком, имеющими аттестат соответствия, выдаваемый в порядке, установленном Совмином (</w:t>
      </w:r>
      <w:proofErr w:type="spellStart"/>
      <w:r>
        <w:t>подп</w:t>
      </w:r>
      <w:proofErr w:type="spellEnd"/>
      <w:r>
        <w:t xml:space="preserve">. 1.6 Указа № 26, </w:t>
      </w:r>
      <w:r w:rsidRPr="00A0166B">
        <w:t>часть вторая ст. 51 Закона №300-З).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>Заключение по принимаемому в эксплуатацию объекту</w:t>
      </w:r>
      <w:r>
        <w:t> </w:t>
      </w:r>
      <w:r w:rsidRPr="0045078A">
        <w:rPr>
          <w:lang w:val="ru-RU"/>
        </w:rPr>
        <w:t>– его соответствие разрешительной и проектной документации</w:t>
      </w:r>
    </w:p>
    <w:p w:rsidR="00C129E1" w:rsidRDefault="00C129E1" w:rsidP="00C129E1">
      <w:pPr>
        <w:pStyle w:val="a3"/>
      </w:pPr>
      <w:proofErr w:type="gramStart"/>
      <w:r>
        <w:t xml:space="preserve">При приемке в эксплуатацию объекта, очереди строительства, пускового комплекса субъекты хозяйствования будут вправе получать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документации, проектной документации, разработанной и утвержденной с учетом установленных законодательством требований к ее разработке и утверждению, в т.ч. требований безопасности и эксплуатационной надежности (абзац пятнадцатый </w:t>
      </w:r>
      <w:proofErr w:type="spellStart"/>
      <w:r>
        <w:t>подп</w:t>
      </w:r>
      <w:proofErr w:type="spellEnd"/>
      <w:r>
        <w:t>. 4.4 Декрета № 7).</w:t>
      </w:r>
      <w:proofErr w:type="gramEnd"/>
    </w:p>
    <w:p w:rsidR="00C129E1" w:rsidRDefault="00C129E1" w:rsidP="00C129E1">
      <w:pPr>
        <w:pStyle w:val="a3"/>
      </w:pPr>
      <w:r>
        <w:rPr>
          <w:b/>
          <w:bCs/>
        </w:rPr>
        <w:t xml:space="preserve">Действующая норма: </w:t>
      </w:r>
      <w:proofErr w:type="gramStart"/>
      <w:r>
        <w:t xml:space="preserve">Соответствие принимаемых в эксплуатацию объектов проектной документации, требованиям безопасности и эксплуатационной надежности должно подтверждаться заключениями государственных органов (их структурных подразделений), иных государственных организаций, выдаваемыми в пределах их компетенции в соответствии с </w:t>
      </w:r>
      <w:hyperlink r:id="rId8" w:history="1">
        <w:r>
          <w:t>законодательством</w:t>
        </w:r>
      </w:hyperlink>
      <w:r>
        <w:t xml:space="preserve">. При этом </w:t>
      </w:r>
      <w:hyperlink r:id="rId9" w:history="1">
        <w:r>
          <w:t>органы</w:t>
        </w:r>
      </w:hyperlink>
      <w:r>
        <w:t xml:space="preserve"> государственного строительного надзора выдают свое заключение с учетом наличия заключений по данному объекту других органов государственного надзора (п. 20 Положения о порядке приемки в эксплуатацию</w:t>
      </w:r>
      <w:proofErr w:type="gramEnd"/>
      <w:r>
        <w:t xml:space="preserve">, утвержденного постановлением Совмина от </w:t>
      </w:r>
      <w:r>
        <w:lastRenderedPageBreak/>
        <w:t>06.06.2011 № 716).</w:t>
      </w:r>
    </w:p>
    <w:p w:rsidR="00C129E1" w:rsidRPr="0045078A" w:rsidRDefault="00C129E1" w:rsidP="00C129E1">
      <w:pPr>
        <w:pStyle w:val="2"/>
        <w:rPr>
          <w:lang w:val="ru-RU"/>
        </w:rPr>
      </w:pPr>
      <w:r w:rsidRPr="0045078A">
        <w:rPr>
          <w:lang w:val="ru-RU"/>
        </w:rPr>
        <w:t xml:space="preserve">Определен срок приемки эксплуатирующими организациями затрат на строительство объектов инфраструктуры </w:t>
      </w:r>
    </w:p>
    <w:p w:rsidR="00C129E1" w:rsidRDefault="00C129E1" w:rsidP="00C129E1">
      <w:pPr>
        <w:pStyle w:val="a3"/>
      </w:pPr>
      <w:r>
        <w:t xml:space="preserve">Эксплуатирующие организации обязаны </w:t>
      </w:r>
      <w:r w:rsidRPr="009D5746">
        <w:rPr>
          <w:b/>
        </w:rPr>
        <w:t>в течение 3 месяцев</w:t>
      </w:r>
      <w:r>
        <w:t xml:space="preserve"> </w:t>
      </w:r>
      <w:proofErr w:type="gramStart"/>
      <w:r>
        <w:t>с даты приемки</w:t>
      </w:r>
      <w:proofErr w:type="gramEnd"/>
      <w:r>
        <w:t xml:space="preserve"> в эксплуатацию объектов, завершенных строительством, но не зарегистрированных в установленном порядке в качестве объектов недвижимого имущества, объектов инженерной, транспортной и социальной инфраструктуры и их благоустройства, принять их безвозмездно в государственную собственность и обратиться за государственной регистрацией в отношении этих объектов. Решение о приемке таких объектов безвозмездно в государственную собственность принимается на основании акта о передаче затрат и документов, подтверждающих завершение их строительства и соответствие проектной документации, без наличия документов, удостоверяющих государственную регистрацию их создания (</w:t>
      </w:r>
      <w:proofErr w:type="spellStart"/>
      <w:r>
        <w:t>подп</w:t>
      </w:r>
      <w:proofErr w:type="spellEnd"/>
      <w:r>
        <w:t>. 5.10 Декрета № 7).</w:t>
      </w:r>
    </w:p>
    <w:p w:rsidR="00C129E1" w:rsidRDefault="00C129E1" w:rsidP="00C129E1">
      <w:pPr>
        <w:pStyle w:val="a3"/>
      </w:pPr>
      <w:r>
        <w:rPr>
          <w:b/>
          <w:bCs/>
        </w:rPr>
        <w:t>Действующая норма:</w:t>
      </w:r>
      <w:r>
        <w:t xml:space="preserve"> Передача в государственную собственность объектов инженерной, транспортной, социальной инфраструктуры и их благоустройства, завершенных строительством, осуществляется без наличия документов, удостоверяющих государственную регистрацию прав на них, на основании акта о передаче затрат, произведенных при создании объекта, и документов, подтверждающих завершение их строительства и соответствие проектной документации.</w:t>
      </w:r>
    </w:p>
    <w:p w:rsidR="00C129E1" w:rsidRPr="00A0166B" w:rsidRDefault="00C129E1" w:rsidP="00C129E1">
      <w:pPr>
        <w:pStyle w:val="a3"/>
      </w:pPr>
      <w:proofErr w:type="gramStart"/>
      <w:r>
        <w:t>Государственная регистрация в отношении объектов инженерной, транспортной, социальной инфраструктуры и их благоустройства, безвозмездно приобретенных в собственность государства, осуществляется территориальной организацией по государственной регистрации недвижимого имущества, прав на него и сделок с ним на основании заявления соответствующих структурных подразделений местных исполнительных и распорядительных органов, эксплуатационных организаций, акта о передаче затрат, произведенных при создании объекта, иных необходимых документов, определяемых Совмином (</w:t>
      </w:r>
      <w:proofErr w:type="spellStart"/>
      <w:r>
        <w:t>подп</w:t>
      </w:r>
      <w:proofErr w:type="spellEnd"/>
      <w:r>
        <w:t>. 1.9</w:t>
      </w:r>
      <w:proofErr w:type="gramEnd"/>
      <w:r>
        <w:t xml:space="preserve"> Указа от 07.02.2006 № 72 "О мерах по государственному регулированию отношений при размещении и организации строительства жилых домов, объектов инженерной, транспортной и социальной инфраструктуры" </w:t>
      </w:r>
      <w:r w:rsidRPr="00A0166B">
        <w:t>(далее – Указ №72).</w:t>
      </w:r>
    </w:p>
    <w:p w:rsidR="00C129E1" w:rsidRDefault="00C129E1" w:rsidP="00C129E1">
      <w:pPr>
        <w:pStyle w:val="a3"/>
      </w:pPr>
      <w:r w:rsidRPr="00A0166B">
        <w:lastRenderedPageBreak/>
        <w:t xml:space="preserve">Таким </w:t>
      </w:r>
      <w:proofErr w:type="spellStart"/>
      <w:r w:rsidRPr="00A0166B">
        <w:t>образом</w:t>
      </w:r>
      <w:proofErr w:type="gramStart"/>
      <w:r w:rsidRPr="00A0166B">
        <w:t>,,</w:t>
      </w:r>
      <w:proofErr w:type="gramEnd"/>
      <w:r w:rsidRPr="00A0166B">
        <w:t>срока</w:t>
      </w:r>
      <w:proofErr w:type="spellEnd"/>
      <w:r w:rsidRPr="00A0166B">
        <w:t xml:space="preserve"> приемки объектов инженерной, транспортной и социальной инфраструктуры и их благоустройства в настоящее время Указом №72 и иными актами законодательства не установлено.</w:t>
      </w:r>
    </w:p>
    <w:p w:rsidR="00C129E1" w:rsidRDefault="00C129E1" w:rsidP="00C129E1">
      <w:pPr>
        <w:pStyle w:val="a3"/>
      </w:pPr>
      <w:r>
        <w:t xml:space="preserve">В целях реализации Декрета № 7 потребуется внесение изменений в ряд нормативных правовых актов, в частности указанных выше и регулирующих сферу строительства. </w:t>
      </w:r>
    </w:p>
    <w:p w:rsidR="00C129E1" w:rsidRDefault="00C129E1" w:rsidP="00C129E1">
      <w:pPr>
        <w:pStyle w:val="a3"/>
      </w:pPr>
    </w:p>
    <w:p w:rsidR="00C129E1" w:rsidRDefault="00C129E1" w:rsidP="00C129E1">
      <w:pPr>
        <w:pStyle w:val="a3"/>
      </w:pPr>
    </w:p>
    <w:p w:rsidR="00C129E1" w:rsidRDefault="00C129E1" w:rsidP="00C129E1">
      <w:pPr>
        <w:pStyle w:val="a3"/>
      </w:pPr>
    </w:p>
    <w:p w:rsidR="00462D89" w:rsidRPr="00C129E1" w:rsidRDefault="00462D89" w:rsidP="00C129E1"/>
    <w:sectPr w:rsidR="00462D89" w:rsidRPr="00C129E1" w:rsidSect="00E86DFF">
      <w:pgSz w:w="11055" w:h="13039"/>
      <w:pgMar w:top="426" w:right="850" w:bottom="1134" w:left="1701" w:header="720" w:footer="720" w:gutter="0"/>
      <w:cols w:space="720"/>
      <w:noEndnote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1B" w:rsidRDefault="00936B1B" w:rsidP="00C129E1">
      <w:r>
        <w:separator/>
      </w:r>
    </w:p>
  </w:endnote>
  <w:endnote w:type="continuationSeparator" w:id="0">
    <w:p w:rsidR="00936B1B" w:rsidRDefault="00936B1B" w:rsidP="00C1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!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1B" w:rsidRDefault="00936B1B" w:rsidP="00C129E1">
      <w:r>
        <w:separator/>
      </w:r>
    </w:p>
  </w:footnote>
  <w:footnote w:type="continuationSeparator" w:id="0">
    <w:p w:rsidR="00936B1B" w:rsidRDefault="00936B1B" w:rsidP="00C129E1">
      <w:r>
        <w:continuationSeparator/>
      </w:r>
    </w:p>
  </w:footnote>
  <w:footnote w:id="1">
    <w:p w:rsidR="00C129E1" w:rsidRDefault="00C129E1" w:rsidP="00C129E1">
      <w:pPr>
        <w:pStyle w:val="20"/>
      </w:pPr>
      <w:r>
        <w:rPr>
          <w:vertAlign w:val="superscript"/>
        </w:rPr>
        <w:footnoteRef/>
      </w:r>
      <w:r>
        <w:t xml:space="preserve"> Средств республиканского или местных бюджетов, государственных внебюджетных фондов, внешних государственных займов и внешних займов, привлеченных под гарантии Совмина, кредитов банков Республики Беларусь, привлеченных под гарантии Совмина, облисполкомов и </w:t>
      </w:r>
      <w:proofErr w:type="spellStart"/>
      <w:r>
        <w:t>Мингорисполкома</w:t>
      </w:r>
      <w:proofErr w:type="spellEnd"/>
      <w:r>
        <w:t>.</w:t>
      </w:r>
    </w:p>
    <w:p w:rsidR="00C129E1" w:rsidRDefault="00C129E1" w:rsidP="00C129E1">
      <w:pPr>
        <w:pStyle w:val="2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9E1"/>
    <w:rsid w:val="00003C7B"/>
    <w:rsid w:val="00011BC5"/>
    <w:rsid w:val="000142C7"/>
    <w:rsid w:val="00035D31"/>
    <w:rsid w:val="0005221D"/>
    <w:rsid w:val="00062203"/>
    <w:rsid w:val="000D66C7"/>
    <w:rsid w:val="000E3A60"/>
    <w:rsid w:val="0010002E"/>
    <w:rsid w:val="00106F55"/>
    <w:rsid w:val="00112DA1"/>
    <w:rsid w:val="0012630A"/>
    <w:rsid w:val="00181D1F"/>
    <w:rsid w:val="00182830"/>
    <w:rsid w:val="001C2434"/>
    <w:rsid w:val="001C35B6"/>
    <w:rsid w:val="001C68C9"/>
    <w:rsid w:val="002036AA"/>
    <w:rsid w:val="00225B7C"/>
    <w:rsid w:val="00237B71"/>
    <w:rsid w:val="002513A1"/>
    <w:rsid w:val="002551B8"/>
    <w:rsid w:val="002A6449"/>
    <w:rsid w:val="002C3496"/>
    <w:rsid w:val="002E0B68"/>
    <w:rsid w:val="002E2C27"/>
    <w:rsid w:val="002E620F"/>
    <w:rsid w:val="002F6BFB"/>
    <w:rsid w:val="0030017F"/>
    <w:rsid w:val="0031300D"/>
    <w:rsid w:val="003216AE"/>
    <w:rsid w:val="00342BF3"/>
    <w:rsid w:val="003648BA"/>
    <w:rsid w:val="00382BE4"/>
    <w:rsid w:val="0039130A"/>
    <w:rsid w:val="003961B9"/>
    <w:rsid w:val="003A4416"/>
    <w:rsid w:val="003C66C4"/>
    <w:rsid w:val="003E3A56"/>
    <w:rsid w:val="003F4DB1"/>
    <w:rsid w:val="00434A46"/>
    <w:rsid w:val="00457F58"/>
    <w:rsid w:val="00461983"/>
    <w:rsid w:val="00462D89"/>
    <w:rsid w:val="0046495C"/>
    <w:rsid w:val="0046794A"/>
    <w:rsid w:val="004921F4"/>
    <w:rsid w:val="004B0356"/>
    <w:rsid w:val="004C747A"/>
    <w:rsid w:val="00502B4A"/>
    <w:rsid w:val="005A1DD7"/>
    <w:rsid w:val="005C4423"/>
    <w:rsid w:val="005F2876"/>
    <w:rsid w:val="006314DF"/>
    <w:rsid w:val="00632EF8"/>
    <w:rsid w:val="00634F91"/>
    <w:rsid w:val="0064408D"/>
    <w:rsid w:val="0066493A"/>
    <w:rsid w:val="006769F1"/>
    <w:rsid w:val="00690175"/>
    <w:rsid w:val="006926B4"/>
    <w:rsid w:val="00693ABD"/>
    <w:rsid w:val="006972FD"/>
    <w:rsid w:val="006A6DFD"/>
    <w:rsid w:val="006B6B57"/>
    <w:rsid w:val="007416E9"/>
    <w:rsid w:val="00750F47"/>
    <w:rsid w:val="00773F0A"/>
    <w:rsid w:val="00780E7F"/>
    <w:rsid w:val="007A2E03"/>
    <w:rsid w:val="007B298C"/>
    <w:rsid w:val="007D36D4"/>
    <w:rsid w:val="0080747D"/>
    <w:rsid w:val="00816D9C"/>
    <w:rsid w:val="008650F1"/>
    <w:rsid w:val="00870FE0"/>
    <w:rsid w:val="00886B7E"/>
    <w:rsid w:val="0088751E"/>
    <w:rsid w:val="00894E2C"/>
    <w:rsid w:val="008B7ABC"/>
    <w:rsid w:val="008C25B8"/>
    <w:rsid w:val="008C411A"/>
    <w:rsid w:val="008D58E0"/>
    <w:rsid w:val="008F3585"/>
    <w:rsid w:val="008F431D"/>
    <w:rsid w:val="00912624"/>
    <w:rsid w:val="00915633"/>
    <w:rsid w:val="00936B1B"/>
    <w:rsid w:val="00990BA0"/>
    <w:rsid w:val="009C2BF6"/>
    <w:rsid w:val="009C47F4"/>
    <w:rsid w:val="00A011FD"/>
    <w:rsid w:val="00A0166B"/>
    <w:rsid w:val="00A033C3"/>
    <w:rsid w:val="00A111C2"/>
    <w:rsid w:val="00A119B4"/>
    <w:rsid w:val="00A4176B"/>
    <w:rsid w:val="00A82987"/>
    <w:rsid w:val="00AA55DA"/>
    <w:rsid w:val="00AA5DDE"/>
    <w:rsid w:val="00AC04F7"/>
    <w:rsid w:val="00AC1349"/>
    <w:rsid w:val="00AD0F90"/>
    <w:rsid w:val="00AD120F"/>
    <w:rsid w:val="00AD7542"/>
    <w:rsid w:val="00AE4B0A"/>
    <w:rsid w:val="00B1083D"/>
    <w:rsid w:val="00B27109"/>
    <w:rsid w:val="00B404AF"/>
    <w:rsid w:val="00B42D7C"/>
    <w:rsid w:val="00B43238"/>
    <w:rsid w:val="00B4780E"/>
    <w:rsid w:val="00B678C0"/>
    <w:rsid w:val="00B732B7"/>
    <w:rsid w:val="00B8160C"/>
    <w:rsid w:val="00B870F8"/>
    <w:rsid w:val="00B90BE9"/>
    <w:rsid w:val="00BF25F5"/>
    <w:rsid w:val="00C129E1"/>
    <w:rsid w:val="00C21ECB"/>
    <w:rsid w:val="00C25093"/>
    <w:rsid w:val="00C25CF2"/>
    <w:rsid w:val="00C5401E"/>
    <w:rsid w:val="00C61A78"/>
    <w:rsid w:val="00CA0D44"/>
    <w:rsid w:val="00CB2BE9"/>
    <w:rsid w:val="00CB4D54"/>
    <w:rsid w:val="00CD3E1B"/>
    <w:rsid w:val="00CD66A3"/>
    <w:rsid w:val="00CF412E"/>
    <w:rsid w:val="00D0069F"/>
    <w:rsid w:val="00D217FF"/>
    <w:rsid w:val="00D71E2D"/>
    <w:rsid w:val="00DA5F8B"/>
    <w:rsid w:val="00DB5D36"/>
    <w:rsid w:val="00DB7F0F"/>
    <w:rsid w:val="00E071C7"/>
    <w:rsid w:val="00E107D2"/>
    <w:rsid w:val="00E23F1D"/>
    <w:rsid w:val="00E326D3"/>
    <w:rsid w:val="00E34231"/>
    <w:rsid w:val="00E631BA"/>
    <w:rsid w:val="00E86DFF"/>
    <w:rsid w:val="00EB7C53"/>
    <w:rsid w:val="00ED490A"/>
    <w:rsid w:val="00EE24BA"/>
    <w:rsid w:val="00EF5302"/>
    <w:rsid w:val="00F032A2"/>
    <w:rsid w:val="00F07785"/>
    <w:rsid w:val="00F525B2"/>
    <w:rsid w:val="00F54AC9"/>
    <w:rsid w:val="00F82EC4"/>
    <w:rsid w:val="00FA210A"/>
    <w:rsid w:val="00FB3EE9"/>
    <w:rsid w:val="00FC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1"/>
    <w:basedOn w:val="a"/>
    <w:next w:val="a"/>
    <w:uiPriority w:val="99"/>
    <w:rsid w:val="00C129E1"/>
    <w:pPr>
      <w:widowControl w:val="0"/>
      <w:autoSpaceDE w:val="0"/>
      <w:autoSpaceDN w:val="0"/>
      <w:adjustRightInd w:val="0"/>
      <w:spacing w:after="170" w:line="312" w:lineRule="auto"/>
      <w:ind w:firstLine="0"/>
      <w:jc w:val="left"/>
      <w:textAlignment w:val="center"/>
    </w:pPr>
    <w:rPr>
      <w:rFonts w:ascii="Cambria" w:eastAsiaTheme="minorEastAsia" w:hAnsi="Cambria" w:cs="Cambria"/>
      <w:caps/>
      <w:color w:val="000000"/>
      <w:sz w:val="36"/>
      <w:szCs w:val="36"/>
      <w:lang w:eastAsia="ru-RU"/>
    </w:rPr>
  </w:style>
  <w:style w:type="paragraph" w:customStyle="1" w:styleId="a3">
    <w:name w:val="Стиль"/>
    <w:basedOn w:val="a"/>
    <w:uiPriority w:val="99"/>
    <w:rsid w:val="00C129E1"/>
    <w:pPr>
      <w:widowControl w:val="0"/>
      <w:autoSpaceDE w:val="0"/>
      <w:autoSpaceDN w:val="0"/>
      <w:adjustRightInd w:val="0"/>
      <w:spacing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21"/>
      <w:szCs w:val="21"/>
      <w:lang w:eastAsia="ru-RU"/>
    </w:rPr>
  </w:style>
  <w:style w:type="paragraph" w:customStyle="1" w:styleId="3">
    <w:name w:val="Стиль3"/>
    <w:basedOn w:val="a"/>
    <w:next w:val="a"/>
    <w:uiPriority w:val="99"/>
    <w:rsid w:val="00C129E1"/>
    <w:pPr>
      <w:widowControl w:val="0"/>
      <w:autoSpaceDE w:val="0"/>
      <w:autoSpaceDN w:val="0"/>
      <w:adjustRightInd w:val="0"/>
      <w:spacing w:after="113" w:line="336" w:lineRule="auto"/>
      <w:ind w:firstLine="0"/>
      <w:jc w:val="right"/>
      <w:textAlignment w:val="center"/>
    </w:pPr>
    <w:rPr>
      <w:rFonts w:ascii="Pragmatica" w:eastAsiaTheme="minorEastAsia" w:hAnsi="Pragmatica" w:cs="Pragmatica"/>
      <w:i/>
      <w:iCs/>
      <w:color w:val="000000"/>
      <w:sz w:val="21"/>
      <w:szCs w:val="21"/>
      <w:lang w:eastAsia="ru-RU"/>
    </w:rPr>
  </w:style>
  <w:style w:type="paragraph" w:customStyle="1" w:styleId="2">
    <w:name w:val="_2"/>
    <w:basedOn w:val="a"/>
    <w:next w:val="a"/>
    <w:uiPriority w:val="99"/>
    <w:rsid w:val="00C129E1"/>
    <w:pPr>
      <w:widowControl w:val="0"/>
      <w:tabs>
        <w:tab w:val="left" w:pos="227"/>
      </w:tabs>
      <w:autoSpaceDE w:val="0"/>
      <w:autoSpaceDN w:val="0"/>
      <w:adjustRightInd w:val="0"/>
      <w:spacing w:before="340" w:after="170" w:line="312" w:lineRule="auto"/>
      <w:ind w:firstLine="0"/>
      <w:jc w:val="left"/>
      <w:textAlignment w:val="center"/>
    </w:pPr>
    <w:rPr>
      <w:rFonts w:ascii="Cambria" w:eastAsiaTheme="minorEastAsia" w:hAnsi="Cambria" w:cs="Cambria"/>
      <w:b/>
      <w:bCs/>
      <w:color w:val="000000"/>
      <w:sz w:val="24"/>
      <w:szCs w:val="24"/>
      <w:lang w:val="en-US" w:eastAsia="ru-RU"/>
    </w:rPr>
  </w:style>
  <w:style w:type="paragraph" w:customStyle="1" w:styleId="a4">
    <w:name w:val="/"/>
    <w:basedOn w:val="a"/>
    <w:uiPriority w:val="99"/>
    <w:rsid w:val="00C129E1"/>
    <w:pPr>
      <w:widowControl w:val="0"/>
      <w:autoSpaceDE w:val="0"/>
      <w:autoSpaceDN w:val="0"/>
      <w:adjustRightInd w:val="0"/>
      <w:spacing w:before="113" w:after="113"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19"/>
      <w:szCs w:val="19"/>
      <w:lang w:eastAsia="ru-RU"/>
    </w:rPr>
  </w:style>
  <w:style w:type="paragraph" w:customStyle="1" w:styleId="a5">
    <w:name w:val="()"/>
    <w:basedOn w:val="a3"/>
    <w:uiPriority w:val="99"/>
    <w:rsid w:val="00C129E1"/>
    <w:pPr>
      <w:tabs>
        <w:tab w:val="left" w:pos="510"/>
      </w:tabs>
    </w:pPr>
  </w:style>
  <w:style w:type="paragraph" w:customStyle="1" w:styleId="20">
    <w:name w:val="Стиль2"/>
    <w:basedOn w:val="a"/>
    <w:uiPriority w:val="99"/>
    <w:rsid w:val="00C129E1"/>
    <w:pPr>
      <w:widowControl w:val="0"/>
      <w:autoSpaceDE w:val="0"/>
      <w:autoSpaceDN w:val="0"/>
      <w:adjustRightInd w:val="0"/>
      <w:spacing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29E1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1"/>
    <w:basedOn w:val="a"/>
    <w:next w:val="a"/>
    <w:uiPriority w:val="99"/>
    <w:rsid w:val="00C129E1"/>
    <w:pPr>
      <w:widowControl w:val="0"/>
      <w:autoSpaceDE w:val="0"/>
      <w:autoSpaceDN w:val="0"/>
      <w:adjustRightInd w:val="0"/>
      <w:spacing w:after="170" w:line="312" w:lineRule="auto"/>
      <w:ind w:firstLine="0"/>
      <w:jc w:val="left"/>
      <w:textAlignment w:val="center"/>
    </w:pPr>
    <w:rPr>
      <w:rFonts w:ascii="Cambria" w:eastAsiaTheme="minorEastAsia" w:hAnsi="Cambria" w:cs="Cambria"/>
      <w:caps/>
      <w:color w:val="000000"/>
      <w:sz w:val="36"/>
      <w:szCs w:val="36"/>
      <w:lang w:eastAsia="ru-RU"/>
    </w:rPr>
  </w:style>
  <w:style w:type="paragraph" w:customStyle="1" w:styleId="a3">
    <w:name w:val="Стиль"/>
    <w:basedOn w:val="a"/>
    <w:uiPriority w:val="99"/>
    <w:rsid w:val="00C129E1"/>
    <w:pPr>
      <w:widowControl w:val="0"/>
      <w:autoSpaceDE w:val="0"/>
      <w:autoSpaceDN w:val="0"/>
      <w:adjustRightInd w:val="0"/>
      <w:spacing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21"/>
      <w:szCs w:val="21"/>
      <w:lang w:eastAsia="ru-RU"/>
    </w:rPr>
  </w:style>
  <w:style w:type="paragraph" w:customStyle="1" w:styleId="3">
    <w:name w:val="Стиль3"/>
    <w:basedOn w:val="a"/>
    <w:next w:val="a"/>
    <w:uiPriority w:val="99"/>
    <w:rsid w:val="00C129E1"/>
    <w:pPr>
      <w:widowControl w:val="0"/>
      <w:autoSpaceDE w:val="0"/>
      <w:autoSpaceDN w:val="0"/>
      <w:adjustRightInd w:val="0"/>
      <w:spacing w:after="113" w:line="336" w:lineRule="auto"/>
      <w:ind w:firstLine="0"/>
      <w:jc w:val="right"/>
      <w:textAlignment w:val="center"/>
    </w:pPr>
    <w:rPr>
      <w:rFonts w:ascii="Pragmatica" w:eastAsiaTheme="minorEastAsia" w:hAnsi="Pragmatica" w:cs="Pragmatica"/>
      <w:i/>
      <w:iCs/>
      <w:color w:val="000000"/>
      <w:sz w:val="21"/>
      <w:szCs w:val="21"/>
      <w:lang w:eastAsia="ru-RU"/>
    </w:rPr>
  </w:style>
  <w:style w:type="paragraph" w:customStyle="1" w:styleId="2">
    <w:name w:val="_2"/>
    <w:basedOn w:val="a"/>
    <w:next w:val="a"/>
    <w:uiPriority w:val="99"/>
    <w:rsid w:val="00C129E1"/>
    <w:pPr>
      <w:widowControl w:val="0"/>
      <w:tabs>
        <w:tab w:val="left" w:pos="227"/>
      </w:tabs>
      <w:autoSpaceDE w:val="0"/>
      <w:autoSpaceDN w:val="0"/>
      <w:adjustRightInd w:val="0"/>
      <w:spacing w:before="340" w:after="170" w:line="312" w:lineRule="auto"/>
      <w:ind w:firstLine="0"/>
      <w:jc w:val="left"/>
      <w:textAlignment w:val="center"/>
    </w:pPr>
    <w:rPr>
      <w:rFonts w:ascii="Cambria" w:eastAsiaTheme="minorEastAsia" w:hAnsi="Cambria" w:cs="Cambria"/>
      <w:b/>
      <w:bCs/>
      <w:color w:val="000000"/>
      <w:sz w:val="24"/>
      <w:szCs w:val="24"/>
      <w:lang w:val="en-US" w:eastAsia="ru-RU"/>
    </w:rPr>
  </w:style>
  <w:style w:type="paragraph" w:customStyle="1" w:styleId="a4">
    <w:name w:val="/"/>
    <w:basedOn w:val="a"/>
    <w:uiPriority w:val="99"/>
    <w:rsid w:val="00C129E1"/>
    <w:pPr>
      <w:widowControl w:val="0"/>
      <w:autoSpaceDE w:val="0"/>
      <w:autoSpaceDN w:val="0"/>
      <w:adjustRightInd w:val="0"/>
      <w:spacing w:before="113" w:after="113"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19"/>
      <w:szCs w:val="19"/>
      <w:lang w:eastAsia="ru-RU"/>
    </w:rPr>
  </w:style>
  <w:style w:type="paragraph" w:customStyle="1" w:styleId="a5">
    <w:name w:val="()"/>
    <w:basedOn w:val="a3"/>
    <w:uiPriority w:val="99"/>
    <w:rsid w:val="00C129E1"/>
    <w:pPr>
      <w:tabs>
        <w:tab w:val="left" w:pos="510"/>
      </w:tabs>
    </w:pPr>
  </w:style>
  <w:style w:type="paragraph" w:customStyle="1" w:styleId="20">
    <w:name w:val="Стиль2"/>
    <w:basedOn w:val="a"/>
    <w:uiPriority w:val="99"/>
    <w:rsid w:val="00C129E1"/>
    <w:pPr>
      <w:widowControl w:val="0"/>
      <w:autoSpaceDE w:val="0"/>
      <w:autoSpaceDN w:val="0"/>
      <w:adjustRightInd w:val="0"/>
      <w:spacing w:line="336" w:lineRule="auto"/>
      <w:ind w:firstLine="283"/>
      <w:textAlignment w:val="center"/>
    </w:pPr>
    <w:rPr>
      <w:rFonts w:ascii="Petersburg!" w:eastAsiaTheme="minorEastAsia" w:hAnsi="Petersburg!" w:cs="Petersburg!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29E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fbs/idg$/%d0%9f%d1%80%d0%be%d0%b8%d0%b7%d0%b2%d0%be%d0%b4%d1%81%d1%82%d0%b2%d0%be/%d0%9e%d0%a1%d0%98/%d0%9e%d0%a1%d0%98%20%d0%9d%d0%b0%d0%b1%d0%be%d1%80/9001-10000/consultantplus://offline/ref=A8BBB9A3F659BDC6E2013018CD357ED5BC4D99424DBA71C20B672DF9C060F00B397C2FA11D74E81256166E7EB1V0l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fbs/idg$/%d0%9f%d1%80%d0%be%d0%b8%d0%b7%d0%b2%d0%be%d0%b4%d1%81%d1%82%d0%b2%d0%be/%d0%9e%d0%a1%d0%98/%d0%9e%d0%a1%d0%98%20%d0%9d%d0%b0%d0%b1%d0%be%d1%80/9001-10000/consultantplus://offline/ref=31EFEE720C62DECF14DD9B65B7E2C4DF3A4BE5ACEA92C69C6142541BAB48211F9ECD34F2A86D1677FD1750DDB5i7i1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fbs/idg$/%d0%9f%d1%80%d0%be%d0%b8%d0%b7%d0%b2%d0%be%d0%b4%d1%81%d1%82%d0%b2%d0%be/%d0%9e%d0%a1%d0%98/%d0%9e%d0%a1%d0%98%20%d0%9d%d0%b0%d0%b1%d0%be%d1%80/9001-10000/consultantplus://offline/ref=E911DE0065FFF41701286D2AEAE045E19E61B312DA47A9AE35606608F4C4D6AA2E0EA7CB6933128A5D1B15FC37v1m1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fbs/idg$/%d0%9f%d1%80%d0%be%d0%b8%d0%b7%d0%b2%d0%be%d0%b4%d1%81%d1%82%d0%b2%d0%be/%d0%9e%d0%a1%d0%98/%d0%9e%d0%a1%d0%98%20%d0%9d%d0%b0%d0%b1%d0%be%d1%80/9001-10000/consultantplus://offline/ref=A8BBB9A3F659BDC6E2013018CD357ED5BC4D99424DBA77C10A662CF9C060F00B397C2FA11D74E81256106D7ABDV0l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2861</Words>
  <Characters>16310</Characters>
  <Application>Microsoft Office Word</Application>
  <DocSecurity>0</DocSecurity>
  <Lines>135</Lines>
  <Paragraphs>38</Paragraphs>
  <ScaleCrop>false</ScaleCrop>
  <Company>Microsoft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User_prav1</dc:creator>
  <cp:keywords/>
  <dc:description/>
  <cp:lastModifiedBy>Титова Ирина Валентиновна</cp:lastModifiedBy>
  <cp:revision>4</cp:revision>
  <dcterms:created xsi:type="dcterms:W3CDTF">2018-03-21T09:59:00Z</dcterms:created>
  <dcterms:modified xsi:type="dcterms:W3CDTF">2021-08-25T12:54:00Z</dcterms:modified>
</cp:coreProperties>
</file>