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91" w:rsidRDefault="00EB3C91" w:rsidP="00EB3C9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A7DB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ИТОГИ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СОЦИАЛЬНО-ЭКОНОМИЧЕСКОГО РАЗВИТИЯ МОГИЛЕВСКОЙ ОБЛАСТИ ЗА 2015-2020гг.</w:t>
      </w:r>
    </w:p>
    <w:p w:rsidR="00EB3C91" w:rsidRPr="009E65A8" w:rsidRDefault="00EB3C91" w:rsidP="00EB3C9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Руководством Могилевской области создаются достойные условия для полноценной и комфортной жизни граждан. Проведение системной экономической региональной политики оказывает интегральное воздействие на все факторы экономического роста региона.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Для </w:t>
      </w:r>
      <w:r w:rsidRPr="004B2FCB">
        <w:rPr>
          <w:rFonts w:ascii="Times New Roman" w:eastAsia="Times New Roman" w:hAnsi="Times New Roman"/>
          <w:sz w:val="30"/>
          <w:szCs w:val="30"/>
        </w:rPr>
        <w:t>обеспечени</w:t>
      </w:r>
      <w:r w:rsidRPr="004B2FCB">
        <w:rPr>
          <w:rFonts w:ascii="Times New Roman" w:hAnsi="Times New Roman"/>
          <w:sz w:val="30"/>
          <w:szCs w:val="30"/>
        </w:rPr>
        <w:t>я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сбалансированности экономики</w:t>
      </w:r>
      <w:r w:rsidRPr="004B2FCB">
        <w:rPr>
          <w:rFonts w:ascii="Times New Roman" w:hAnsi="Times New Roman"/>
          <w:sz w:val="30"/>
          <w:szCs w:val="30"/>
        </w:rPr>
        <w:t xml:space="preserve"> в городах и районах Могилевской области реализуются программы социально-экономического развития на 2016–2020 гг., в соответствии с которыми разработан к</w:t>
      </w:r>
      <w:r w:rsidRPr="004B2FCB">
        <w:rPr>
          <w:rFonts w:ascii="Times New Roman" w:eastAsia="Times New Roman" w:hAnsi="Times New Roman"/>
          <w:sz w:val="30"/>
          <w:szCs w:val="30"/>
        </w:rPr>
        <w:t>омплекс мер по решению задач социально-экономического развития городов и районов, главн</w:t>
      </w:r>
      <w:r w:rsidRPr="004B2FCB">
        <w:rPr>
          <w:rFonts w:ascii="Times New Roman" w:hAnsi="Times New Roman"/>
          <w:sz w:val="30"/>
          <w:szCs w:val="30"/>
        </w:rPr>
        <w:t>ой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цель</w:t>
      </w:r>
      <w:r w:rsidRPr="004B2FCB">
        <w:rPr>
          <w:rFonts w:ascii="Times New Roman" w:hAnsi="Times New Roman"/>
          <w:sz w:val="30"/>
          <w:szCs w:val="30"/>
        </w:rPr>
        <w:t>ю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</w:t>
      </w:r>
      <w:r w:rsidRPr="004B2FCB">
        <w:rPr>
          <w:rFonts w:ascii="Times New Roman" w:hAnsi="Times New Roman"/>
          <w:sz w:val="30"/>
          <w:szCs w:val="30"/>
        </w:rPr>
        <w:t>которого является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 рост благосостояния и улучшение условий жизни населения на основе совершенствования социально-экономических отношений, инновационного развития и повышения конкурентоспособности экономики город</w:t>
      </w:r>
      <w:r w:rsidRPr="004B2FCB">
        <w:rPr>
          <w:rFonts w:ascii="Times New Roman" w:hAnsi="Times New Roman"/>
          <w:sz w:val="30"/>
          <w:szCs w:val="30"/>
        </w:rPr>
        <w:t>ов и районов</w:t>
      </w:r>
      <w:r w:rsidRPr="004B2FCB">
        <w:rPr>
          <w:rFonts w:ascii="Times New Roman" w:eastAsia="Times New Roman" w:hAnsi="Times New Roman"/>
          <w:sz w:val="30"/>
          <w:szCs w:val="30"/>
        </w:rPr>
        <w:t>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Городами и районами разработаны и реализуются также планы развития, основной целью которых является осуществление ряда структурных преобразований, направленных на рост эффективности экономики регионов, повышение мотивации и результативности труда, достижение финансовой стабильности экономики в целом и ее секторов, улучшение качества и уровня жизни. 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Кроме этого, горрайисполкомами области разработаны и реализуются планы индустриализации городов и районов, в которых определены предпочтительные сектора экономики и территории для реализации проектов индустриализации, сформированы инвестиционные проекты и предложения с учетом инфраструктуры, наличия полезных ископаемых и интересов местных жителей. Их реализация позволит повысить инвестиционную и инновационную привлекательность городов и районов и создать комфортную среды для проживания граждан на соответствующих территориях.</w:t>
      </w:r>
    </w:p>
    <w:p w:rsidR="00EB3C91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результате реализуемых мер по итогам 4 лет текущей пятилетки областью выполняются задания по экспорту товаров (без учета республиканских организаций, а также нефти и нефтепродуктов) – фактически 159,6 % при задании на 2016-2019 гг. 120,1–123,8 %, экспорту услуг (без учета республиканских организаций – 160,9% при задании 112,8–113,1 %, привлечению прямых иностранных инвестиций на чистой основе (без учета задолженности прямому инвестору за товары, работы, услуги) – 295,6 млн. долларов при задании 272,2 млн. долларов, количеству трудоустроенных граждан на вновь созданные рабочие места за счет создания новых предприятий и производств – 19 231 человек при задании 17 560 человек.</w:t>
      </w:r>
    </w:p>
    <w:p w:rsidR="00EB3C91" w:rsidRPr="00053BA7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053BA7">
        <w:rPr>
          <w:rFonts w:ascii="Times New Roman" w:hAnsi="Times New Roman"/>
          <w:i/>
          <w:sz w:val="30"/>
          <w:szCs w:val="30"/>
        </w:rPr>
        <w:lastRenderedPageBreak/>
        <w:t>Районом по итогам 4 лет текущей пятилетки выполняются задания по экспорту товаров (без учета республиканских организаций, а также нефти и нефтепродуктов) – фактически 1565,8 % при задании на 2016-2019 гг. 335,1 %, экспорту услуг (без учета республиканских организаций, а также нефти и нефтепродуктов) – 371,1% при задании 93,8 %, количеству трудоустроенных граждан на вновь созданные рабочие места за счет создания новых предприятий и производств – 607 человек при задании 313 человек, индексу производства промышленной продукции фактически 112,6 % при задании на 2016-2019 гг. 98,5 %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Необходимым элементом региональной экономической политики является развитие  малого и среднего предпринимательства, что подтверждается увеличением его вклада в экономику области.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Так, удельный вес субъектов малого и среднего предпринимательства (юридических лиц и индивидуальных предпринимателей) Могилевской области в основных экономических показателях развития области вырос: в валовой добавленной стоимости с 22,8 % в 2015 году до 24,8 % в 2018 году, в выручке от реализации продукции, товаров, работ, услуг с 30,6 % до 35,1 %, в средней численности работников с 26,2 % до 28,2 %.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Удельный вес субъектов малого и среднего предпринимательства –юридических лиц вырос: в объеме промышленного производства с 18,2% в 2015 году до 24,1% в 2018 году, в инвестициях в основной капитал – с 32,0% до 39,3%, в экспорте товаров с 21,4% до 32,9%.</w:t>
      </w:r>
    </w:p>
    <w:p w:rsidR="00EB3C91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Положительную тенденцию имеет удельный вес поступлений, уплачиваемых субъектами малого и среднего предпринимательства в консолидированный бюджет в его общем объеме. В 2015 году он составлял 27,8 %, в 2019 году – 36,9%, в январе-марте 2020 г. – 35,9%.</w:t>
      </w:r>
    </w:p>
    <w:p w:rsidR="00EB3C91" w:rsidRPr="00BF64A6" w:rsidRDefault="00EB3C91" w:rsidP="00EB3C91">
      <w:pPr>
        <w:spacing w:after="0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BF64A6">
        <w:rPr>
          <w:rFonts w:ascii="Times New Roman" w:hAnsi="Times New Roman" w:cs="Times New Roman"/>
          <w:i/>
          <w:sz w:val="30"/>
          <w:szCs w:val="30"/>
        </w:rPr>
        <w:t xml:space="preserve">В районе также имеет ежегодную динамику роста удельный вес поступлений от субъектов малого и среднего бизнеса в консолидированный бюджет района. За 2017  </w:t>
      </w:r>
      <w:r w:rsidRPr="00BF64A6">
        <w:rPr>
          <w:rFonts w:ascii="Times New Roman" w:hAnsi="Times New Roman"/>
          <w:i/>
          <w:sz w:val="30"/>
          <w:szCs w:val="30"/>
        </w:rPr>
        <w:t xml:space="preserve">он </w:t>
      </w:r>
      <w:r w:rsidRPr="00BF64A6">
        <w:rPr>
          <w:rFonts w:ascii="Times New Roman" w:hAnsi="Times New Roman" w:cs="Times New Roman"/>
          <w:i/>
          <w:sz w:val="30"/>
          <w:szCs w:val="30"/>
        </w:rPr>
        <w:t>составлял 13,3 %, за 2018 – 20,8 %  в 2019 году – 22,2% и 1-е полугодие 2020 г. – 33,8 %.</w:t>
      </w:r>
    </w:p>
    <w:p w:rsidR="00EB3C91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области реализуются мероприятия, направленные на улучшение деловой среды, содействие развитию субъектов малого и среднего предпринимательства, совершенствование инфраструктуры поддержки малого и среднего предпринимательства, формирование позитивного отношения к предпринимательской инициативе граждан. Для этих целей в области зарегистрировано 13 центров поддержки предпринимательства и 5 инкубаторов малого предпринимательства.</w:t>
      </w:r>
    </w:p>
    <w:p w:rsidR="00EB3C91" w:rsidRPr="00D7524C" w:rsidRDefault="00EB3C91" w:rsidP="00EB3C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D7524C">
        <w:rPr>
          <w:rFonts w:ascii="Times New Roman" w:hAnsi="Times New Roman" w:cs="Times New Roman"/>
          <w:i/>
          <w:sz w:val="30"/>
          <w:szCs w:val="30"/>
        </w:rPr>
        <w:t xml:space="preserve">Для успешного развития бизнеса в районе в рамках реализации проекта ПРООН «Содействия занятости и самозанятости населения </w:t>
      </w:r>
      <w:r w:rsidRPr="00D7524C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в малых и средних городах в Республике Беларусь» на базе                                    ОАО «Кричевский рынок» создан Центр поддержки предпринимательства Кричевского района.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val="be-BY"/>
        </w:rPr>
      </w:pPr>
      <w:r w:rsidRPr="004B2FCB">
        <w:rPr>
          <w:rFonts w:ascii="Times New Roman" w:hAnsi="Times New Roman"/>
          <w:sz w:val="30"/>
          <w:szCs w:val="30"/>
          <w:lang w:val="be-BY"/>
        </w:rPr>
        <w:t>Важным объектом государственного регулирования экономики являются инвестиции и инновации. Влияние на активность инвестиционно-инновационного процесса осуществляется непосредственным участием в инвестиционных проектах, стимулированием частных инвестиций в реальном секторе экономики.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Наиболее значимыми инвестиционными проектами</w:t>
      </w:r>
      <w:r w:rsidRPr="004B2FCB">
        <w:rPr>
          <w:rFonts w:ascii="Times New Roman" w:hAnsi="Times New Roman"/>
          <w:iCs/>
          <w:sz w:val="30"/>
          <w:szCs w:val="30"/>
        </w:rPr>
        <w:t>, влияющими на экономику региона, являются</w:t>
      </w:r>
      <w:r w:rsidRPr="004B2FCB">
        <w:rPr>
          <w:rFonts w:ascii="Times New Roman" w:hAnsi="Times New Roman"/>
          <w:sz w:val="30"/>
          <w:szCs w:val="30"/>
        </w:rPr>
        <w:t>: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строительство, организация производства и последующая эксплуатация завода по выпуску ориентировано-стружечных плит (ОСБ) в г. Могилев на территории СЭЗ «Могилев», ИООО «Кроноспан ОСБ» (2013-2021 гг., за период реализации проекта освоено инвестиций на сумму 443,6 млн. рублей, создано 185 рабочих мест);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создание предприятия по производству технического углерода </w:t>
      </w:r>
      <w:r w:rsidRPr="004B2FCB">
        <w:rPr>
          <w:rFonts w:ascii="Times New Roman" w:hAnsi="Times New Roman"/>
          <w:sz w:val="30"/>
          <w:szCs w:val="30"/>
        </w:rPr>
        <w:br/>
        <w:t>в СЭЗ «Могилев» Могилевского района Могилевской области и железнодорожного подъезда к нему, ИООО «Омск Карбон Могилев» (2013-2020 гг., освоено инвестиций 197,8 млн. рублей, или 146,5 % к плановому объему, создано 359 рабочих мест из 465 запланированных);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модернизация производства в помещении крутильно-ткацкого корпуса по ул. Гришина, 87-3 и в здании отделочного корпуса по ул. Гришина, 87 в г. Могилеве, ОАО «Моготекс» (2018-2020 гг., освоено 38,7 млн. рублей инвестиций, или 71,3 %);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создание объекта «Агропредприятие «Белдан» по производству зерна и датской беконной свинины мощностью 53 000 голов в год вблизи дер. Ветка Белыничского района, ИООО «БОННЕТИ» (2018-2022 гг., освоено инвестиций 50,7 млн. рублей, или 76,8 %, создано 48 запланированных рабочих мест);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строительство свиноводческого комплекса проектной мощностью 24 000 голов в год ОАО «Могилевский мясокомбинат» в районе дер. Перегон Славгородского района (2018-2020 гг., объем освоенных инвестиций – 31,9 млн. рублей, или 67,2 %, предусмотрено создание 57 рабочих мест, из них 7 создано);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расширение промышленного комплекса по производству мяса цыплят бройлеров ЗАО «Серволюкс Агро» (третья очередь) (2014-2020 гг., объем освоенных инвестиций – 38,4 млн. рублей, или 102,6 %, создано 75 рабочих мест из 148 запланированных).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Начата реализация такого приоритетного проекта, как организация нового лесопильного и пеллетного производства в г. Бобруйске, ООО «БР-Вуд» (2019-2021 гг., заявленный объем инвестиций – 21 млн. евро, предусмотрено создание 54 рабочих мест).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lastRenderedPageBreak/>
        <w:t xml:space="preserve">Кроме этого, в программе социально-экономического развития области на 2016-2020 гг. обозначен ряд мероприятий, которые реализуются промышленными предприятиями области.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Модернизация ОАО «Белшина» продолжается не один год, реализован ряд инвестиционных проектов. Проведено техническое перевооружение завода массовых шин, крупногабаритных шин. Завершен первый этап модернизации завод сверхкрупнонабаритных шин. Масштабная модернизация позволила с 2013 года внедрить в производство порядка 130 новых типоразмеров шин.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ОАО «Могилевхимволокно» в два этапа реализуется инвестиционный проект по производству полиэфирной продукции. В конце 2018 года в строй введено </w:t>
      </w:r>
      <w:r w:rsidRPr="004B2FCB">
        <w:rPr>
          <w:rFonts w:ascii="Times New Roman" w:eastAsia="Times New Roman" w:hAnsi="Times New Roman"/>
          <w:bCs/>
          <w:sz w:val="30"/>
          <w:szCs w:val="30"/>
        </w:rPr>
        <w:t xml:space="preserve">производство по выпуску полиэфирного волокна способом прямого формования.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4B2FCB">
        <w:rPr>
          <w:rFonts w:ascii="Times New Roman" w:eastAsia="Times New Roman" w:hAnsi="Times New Roman"/>
          <w:bCs/>
          <w:sz w:val="30"/>
          <w:szCs w:val="30"/>
        </w:rPr>
        <w:t xml:space="preserve">В дальнейшем планируется реализация второго этапа инвестиционного проекта, который предусматривает создание крупнотоннажного комплекса по выпуску профильной для предприятия продукции: полиэтилентерефталата, полиэфирных волокон и нитей.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Главным приоритетом научно-технического развития ОАО «Могилевлифтмаш» является освоение в производстве нового поколения лифтового оборудования, которое по своим технико-экономическим и потребительским свойствам не уступает лучшим иностранным аналогам.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 xml:space="preserve">В настоящее время обществом реализуются два инвестиционных проекта: «Модернизация производства для освоения выпуска лифтов на базе безредукторного привода: лифтов эконом-класса, лифтов бизнес-класса, лифтов для высотного строительства» и «Создание производства эскалаторов поэтажных» (сроки реализации проектов 2016-2020 годы). </w:t>
      </w:r>
    </w:p>
    <w:p w:rsidR="00EB3C91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Освоение производства эскалаторов поэтажных и траволаторов со степенью локализации не менее 50 %, что послужит увеличению номенклатуры выпуска новой импортозамещающей продукции и расширению рынков сбыта.</w:t>
      </w:r>
    </w:p>
    <w:p w:rsidR="00EB3C91" w:rsidRPr="007D0C3E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D0C3E">
        <w:rPr>
          <w:rFonts w:ascii="Times New Roman" w:eastAsia="Times New Roman" w:hAnsi="Times New Roman" w:cs="Times New Roman"/>
          <w:i/>
          <w:sz w:val="30"/>
          <w:szCs w:val="30"/>
        </w:rPr>
        <w:t xml:space="preserve">В районе в рамках мероприятий </w:t>
      </w:r>
      <w:r w:rsidRPr="007D0C3E">
        <w:rPr>
          <w:rFonts w:ascii="Times New Roman" w:hAnsi="Times New Roman" w:cs="Times New Roman"/>
          <w:i/>
          <w:sz w:val="30"/>
          <w:szCs w:val="30"/>
        </w:rPr>
        <w:t>Программы по развитию юго-восточного региона реализованы следующие значимые проекты:</w:t>
      </w:r>
    </w:p>
    <w:p w:rsidR="00EB3C91" w:rsidRPr="007D0C3E" w:rsidRDefault="00EB3C91" w:rsidP="00EB3C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D0C3E">
        <w:rPr>
          <w:rFonts w:ascii="Times New Roman" w:hAnsi="Times New Roman" w:cs="Times New Roman"/>
          <w:i/>
          <w:sz w:val="30"/>
          <w:szCs w:val="30"/>
        </w:rPr>
        <w:t xml:space="preserve">- </w:t>
      </w:r>
      <w:r w:rsidRPr="007D0C3E">
        <w:rPr>
          <w:rFonts w:ascii="Times New Roman" w:hAnsi="Times New Roman" w:cs="Times New Roman"/>
          <w:i/>
          <w:spacing w:val="-16"/>
          <w:sz w:val="30"/>
          <w:szCs w:val="30"/>
        </w:rPr>
        <w:t>ЗАО «Белзарубежстрой»</w:t>
      </w:r>
      <w:r w:rsidRPr="007D0C3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7D0C3E">
        <w:rPr>
          <w:rFonts w:ascii="Times New Roman" w:hAnsi="Times New Roman" w:cs="Times New Roman"/>
          <w:i/>
          <w:sz w:val="30"/>
          <w:szCs w:val="30"/>
        </w:rPr>
        <w:t xml:space="preserve">построен новый завод по производству цементно-стружечной плиты мощностью 60 000 куб. м в год в г. Кричеве, привлечено 2,2 млн. долл. США прямых иностранных инвестиций, всего освоено 22,8 млн. рублей, в г. Кричеве зарегистрировано СООО «ЦСП БЗС». </w:t>
      </w:r>
    </w:p>
    <w:p w:rsidR="00EB3C91" w:rsidRPr="007D0C3E" w:rsidRDefault="00EB3C91" w:rsidP="00EB3C9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D0C3E">
        <w:rPr>
          <w:rFonts w:ascii="Times New Roman" w:hAnsi="Times New Roman" w:cs="Times New Roman"/>
          <w:i/>
          <w:sz w:val="30"/>
          <w:szCs w:val="30"/>
        </w:rPr>
        <w:t xml:space="preserve">- в ОАО «Кричевцементношифер» реализован инвестиционный проект по строительству «Линии по измельчению торфобрикета для сжигания в горелках декарбонизатора» (освоено 2,3 млн. руб.), что </w:t>
      </w:r>
      <w:r w:rsidRPr="007D0C3E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позволило предприятию частично замещать каменный уголь торфобрикетом. </w:t>
      </w:r>
    </w:p>
    <w:p w:rsidR="00EB3C91" w:rsidRPr="007D0C3E" w:rsidRDefault="00EB3C91" w:rsidP="00EB3C9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D0C3E">
        <w:rPr>
          <w:rFonts w:ascii="Times New Roman" w:hAnsi="Times New Roman" w:cs="Times New Roman"/>
          <w:i/>
          <w:sz w:val="30"/>
          <w:szCs w:val="30"/>
        </w:rPr>
        <w:t>- в ОАО «Кричевский завод железобетонных изделий» (среднесписочная численность 29 человек, среднемесячная заработная плата 717,2 руб.) освоено производ</w:t>
      </w:r>
      <w:r w:rsidRPr="007D0C3E">
        <w:rPr>
          <w:rFonts w:ascii="Times New Roman" w:hAnsi="Times New Roman" w:cs="Times New Roman"/>
          <w:i/>
          <w:spacing w:val="-8"/>
          <w:sz w:val="30"/>
          <w:szCs w:val="30"/>
        </w:rPr>
        <w:t xml:space="preserve">ство усовершенствованной продукции изделий </w:t>
      </w:r>
      <w:r w:rsidRPr="007D0C3E">
        <w:rPr>
          <w:rFonts w:ascii="Times New Roman" w:hAnsi="Times New Roman" w:cs="Times New Roman"/>
          <w:i/>
          <w:sz w:val="30"/>
          <w:szCs w:val="30"/>
        </w:rPr>
        <w:t>канализационной сис</w:t>
      </w:r>
      <w:r w:rsidRPr="007D0C3E">
        <w:rPr>
          <w:rFonts w:ascii="Times New Roman" w:hAnsi="Times New Roman" w:cs="Times New Roman"/>
          <w:i/>
          <w:spacing w:val="-4"/>
          <w:sz w:val="30"/>
          <w:szCs w:val="30"/>
        </w:rPr>
        <w:t>темы (</w:t>
      </w:r>
      <w:r w:rsidRPr="007D0C3E">
        <w:rPr>
          <w:rFonts w:ascii="Times New Roman" w:hAnsi="Times New Roman" w:cs="Times New Roman"/>
          <w:i/>
          <w:sz w:val="30"/>
          <w:szCs w:val="30"/>
        </w:rPr>
        <w:t xml:space="preserve">освоено 440,5 тыс. долл. США прямых иностранных инвестиций на чистой основе). Предприятием освоены новые технологии производства, получены все соответствующие сертификаты качества. </w:t>
      </w:r>
    </w:p>
    <w:p w:rsidR="00EB3C91" w:rsidRPr="007D0C3E" w:rsidRDefault="00EB3C91" w:rsidP="00EB3C9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D0C3E">
        <w:rPr>
          <w:rFonts w:ascii="Times New Roman" w:hAnsi="Times New Roman" w:cs="Times New Roman"/>
          <w:i/>
          <w:sz w:val="30"/>
          <w:szCs w:val="30"/>
        </w:rPr>
        <w:t xml:space="preserve">- в СП «Производство резиновых изделий, город Кричев»                  ОАО «Белшина» проведены ремонты цехов, поставлено оборудование для производства новых моделей обуви (освоено 84 800 евро). </w:t>
      </w:r>
    </w:p>
    <w:p w:rsidR="00EB3C91" w:rsidRPr="007D0C3E" w:rsidRDefault="00EB3C91" w:rsidP="00EB3C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D0C3E">
        <w:rPr>
          <w:rFonts w:ascii="Times New Roman" w:hAnsi="Times New Roman" w:cs="Times New Roman"/>
          <w:i/>
          <w:sz w:val="30"/>
          <w:szCs w:val="30"/>
        </w:rPr>
        <w:t xml:space="preserve">Освоено производство кукурузной палочки в Кричевском филиале ОАО «Булочно-кондитерская компания «Домочай». </w:t>
      </w:r>
    </w:p>
    <w:p w:rsidR="00EB3C91" w:rsidRPr="007D0C3E" w:rsidRDefault="00EB3C91" w:rsidP="00EB3C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D0C3E">
        <w:rPr>
          <w:rFonts w:ascii="Times New Roman" w:hAnsi="Times New Roman" w:cs="Times New Roman"/>
          <w:i/>
          <w:sz w:val="30"/>
          <w:szCs w:val="30"/>
        </w:rPr>
        <w:t xml:space="preserve">В рамках развития промышленного сектора в 2018 году на неиспользуемых площадях «Производства резиновых изделий, г. Кричев» ОАО «Белшина» открыто новое производство швейных изделий УП «Шарм Премьер». В настоящее время (на 01.06.2020) среднесписочная численность работающих составила 92 человек. </w:t>
      </w:r>
    </w:p>
    <w:p w:rsidR="00EB3C91" w:rsidRPr="007D0C3E" w:rsidRDefault="00EB3C91" w:rsidP="00EB3C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7D0C3E">
        <w:rPr>
          <w:rFonts w:ascii="Times New Roman" w:hAnsi="Times New Roman" w:cs="Times New Roman"/>
          <w:i/>
          <w:sz w:val="30"/>
          <w:szCs w:val="30"/>
        </w:rPr>
        <w:t>В 2018 году ЗАО «Легпромразвитие» на территории района открыто новое производство по пошиву верхней части обуви, в настоящее время численность работающих 27 человек.</w:t>
      </w:r>
    </w:p>
    <w:p w:rsidR="00EB3C91" w:rsidRPr="007D0C3E" w:rsidRDefault="00EB3C91" w:rsidP="00EB3C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D0C3E">
        <w:rPr>
          <w:rFonts w:ascii="Times New Roman" w:hAnsi="Times New Roman" w:cs="Times New Roman"/>
          <w:i/>
          <w:sz w:val="30"/>
          <w:szCs w:val="30"/>
        </w:rPr>
        <w:t>Сельскохозяйственными предприятиями</w:t>
      </w:r>
      <w:r w:rsidRPr="007D0C3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7D0C3E">
        <w:rPr>
          <w:rFonts w:ascii="Times New Roman" w:hAnsi="Times New Roman" w:cs="Times New Roman"/>
          <w:i/>
          <w:sz w:val="30"/>
          <w:szCs w:val="30"/>
        </w:rPr>
        <w:t>района в 2018 году приобретено 12 единиц сельскохозяйственной техники на сумму 37,9 тыс. руб.</w:t>
      </w:r>
    </w:p>
    <w:p w:rsidR="00EB3C91" w:rsidRPr="007D0C3E" w:rsidRDefault="00EB3C91" w:rsidP="00EB3C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D0C3E">
        <w:rPr>
          <w:rFonts w:ascii="Times New Roman" w:hAnsi="Times New Roman" w:cs="Times New Roman"/>
          <w:i/>
          <w:sz w:val="30"/>
          <w:szCs w:val="30"/>
        </w:rPr>
        <w:t xml:space="preserve">За 2019 год приобретено 29 единиц техники на сумму1693,035 тыс. руб., в том числе 900,72 тыс. руб. за счет средств районного бюджета. </w:t>
      </w:r>
    </w:p>
    <w:p w:rsidR="00EB3C91" w:rsidRPr="007D0C3E" w:rsidRDefault="00EB3C91" w:rsidP="00EB3C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D0C3E">
        <w:rPr>
          <w:rFonts w:ascii="Times New Roman" w:hAnsi="Times New Roman" w:cs="Times New Roman"/>
          <w:i/>
          <w:sz w:val="30"/>
          <w:szCs w:val="30"/>
        </w:rPr>
        <w:t>В СПК «Колхоз имени Суворова» реализован проект «Реконструкция существующей молочно-товарной фермы под МТФ на 635 голов в д. Сычики (строительство молочно-товарного модуля с инженерными сетями, состоящего из 2-х коровников на 576 скотомест и ДМБ с доильным залом «Параллель» 2х12) СПК «Колхоз имени Суворова» Кричевского района». 2 этап. 10.12.2019 объект введен в эксплуатацию.</w:t>
      </w:r>
    </w:p>
    <w:p w:rsidR="00EB3C91" w:rsidRPr="007D0C3E" w:rsidRDefault="00EB3C91" w:rsidP="00EB3C91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D0C3E">
        <w:rPr>
          <w:rFonts w:ascii="Times New Roman" w:hAnsi="Times New Roman" w:cs="Times New Roman"/>
          <w:i/>
          <w:sz w:val="30"/>
          <w:szCs w:val="30"/>
        </w:rPr>
        <w:t>В КСУП «Малятичи-АГРО» 31.12.2019 введен в эксплуатацию  объект «Реконструкция существующей молочно-товарной фермы под МТФ на 635 голов в агрогородке Молятичи (строительство молочно-товарного модуля с инженерными сетями, состоящего из  2-х коровников на 576 скотомест и ДМБ с доильным залом «Параллель» 2х12) СП «Малятичи» СПК «Бель» Кричевского района».</w:t>
      </w:r>
    </w:p>
    <w:p w:rsidR="00EB3C91" w:rsidRPr="007D0C3E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30"/>
          <w:szCs w:val="30"/>
        </w:rPr>
      </w:pPr>
    </w:p>
    <w:p w:rsidR="00EB3C91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>Важную роль в развитии региональной экономики, повышении ее конкурентоспособности играет эффективная внешнеэкономическая политика</w:t>
      </w:r>
      <w:r w:rsidRPr="004B2FCB">
        <w:rPr>
          <w:rFonts w:ascii="Times New Roman" w:hAnsi="Times New Roman"/>
          <w:i/>
          <w:sz w:val="30"/>
          <w:szCs w:val="30"/>
        </w:rPr>
        <w:t xml:space="preserve">. </w:t>
      </w:r>
      <w:r w:rsidRPr="004B2FCB">
        <w:rPr>
          <w:rFonts w:ascii="Times New Roman" w:hAnsi="Times New Roman"/>
          <w:sz w:val="30"/>
          <w:szCs w:val="30"/>
        </w:rPr>
        <w:t xml:space="preserve">Так, объем экспорта в целом по области увеличился в 1,3 раза с 1,7 в 2015 году до 2,3 млрд. долларов в 2019 году, по организациям коммунальной и без ведомственной подчиненности в 1,6 раз. </w:t>
      </w:r>
    </w:p>
    <w:p w:rsidR="00EB3C91" w:rsidRPr="00B848CA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B848CA">
        <w:rPr>
          <w:rFonts w:ascii="Times New Roman" w:hAnsi="Times New Roman"/>
          <w:i/>
          <w:sz w:val="30"/>
          <w:szCs w:val="30"/>
        </w:rPr>
        <w:t>По району экспорт товаров без учета организаций, подчиненных республиканским органам государственного управления, увеличился в 16 раз с 614,4 тыс. долларов в 2015 году до 10,1 млн. долларов в                2019 году.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Увеличилось положительное сальдо внешней торговли. Если в 2015 году оно составляло 548,3 млн. долларов, то по итогам 2019 года 776,2 млн. долларов.</w:t>
      </w:r>
      <w:r w:rsidRPr="004B2FCB">
        <w:rPr>
          <w:rFonts w:ascii="Times New Roman" w:hAnsi="Times New Roman"/>
          <w:sz w:val="30"/>
          <w:szCs w:val="30"/>
        </w:rPr>
        <w:tab/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Увеличилось и количество субъектов внешнеэкономической деятельности, осуществляющих экспортные поставки, с 712 до 904. </w:t>
      </w:r>
      <w:r w:rsidRPr="004B2FCB">
        <w:rPr>
          <w:rFonts w:ascii="Times New Roman" w:hAnsi="Times New Roman"/>
          <w:sz w:val="30"/>
          <w:szCs w:val="30"/>
        </w:rPr>
        <w:tab/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Отмечается активное вовлечение во внешнеэкономическую деятельность организаций частной формы собственности, которые создают экспортоориентированные производства с привлечением иностранных инвестиций и выпускают продукцию с высокой добавленной стоимостью.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Количество таких организаций–экспортеров возросло с 567 в 2015 году до 781 в 2019 году.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2019 году их удельный вес составил 46,5 % против 32,9 % в 2015 году, суммарный объем их экспорта увеличился почти в 2 раза с 551,5 млн. долларов в 2015 году до 1057,3 млн. долларов по итогам 2019 года.</w:t>
      </w:r>
    </w:p>
    <w:p w:rsidR="00EB3C91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2015 году Могилевская область осуществляла экспортные поставки в 97 страны, по итогам 2019 года – в 100 стран.</w:t>
      </w:r>
    </w:p>
    <w:p w:rsidR="00EB3C91" w:rsidRPr="002000EB" w:rsidRDefault="00EB3C91" w:rsidP="00EB3C91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2000EB">
        <w:rPr>
          <w:rFonts w:ascii="Times New Roman" w:hAnsi="Times New Roman" w:cs="Times New Roman"/>
          <w:i/>
          <w:sz w:val="30"/>
          <w:szCs w:val="30"/>
        </w:rPr>
        <w:t>Если ранее субъекты хозяйствования  Кричевского района осуществляли поставки товаров на экспорт преимущественно в Российскую Федерацию, Украину и Казахстан, то за истекший период 2020 г. товары экспортировались в 20 стран: Республика Молдова, Российская Федерация, Узбекистан, Украина, Бельгия, Венгрия, Германия, Дания, Италия, Латвия, Литва, Нидерланды, Польша, Португалия, Словакия, Соединенное Королевство Великобритания, Франция, Чехия, Эстония.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 целью принятия мер оперативного регулирования по сбалансированному развитию экономики региона ежегодно  формируется План мероприятий по импортозамещению Могилевской области.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Всего за последние пять лет (2015-2019 гг.) областью произведено импортозамещающей продукции на сумму 2,6 млрд. долл. США, при этом производство импортозамещающей продукции увеличилось с  411 </w:t>
      </w:r>
      <w:r w:rsidRPr="004B2FCB">
        <w:rPr>
          <w:rFonts w:ascii="Times New Roman" w:hAnsi="Times New Roman"/>
          <w:sz w:val="30"/>
          <w:szCs w:val="30"/>
        </w:rPr>
        <w:lastRenderedPageBreak/>
        <w:t>млн. долл. США в 2015 г. до 630 млн. долл. США в 2019 г.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Удельный вес импортозамещающей продукции в объеме промышленного производства области </w:t>
      </w:r>
      <w:r w:rsidRPr="004B2FCB">
        <w:rPr>
          <w:rFonts w:ascii="Times New Roman" w:hAnsi="Times New Roman"/>
          <w:i/>
          <w:sz w:val="30"/>
          <w:szCs w:val="30"/>
        </w:rPr>
        <w:t>(без учета республиканских организаций</w:t>
      </w:r>
      <w:r w:rsidRPr="004B2FCB">
        <w:rPr>
          <w:rFonts w:ascii="Times New Roman" w:hAnsi="Times New Roman"/>
          <w:sz w:val="30"/>
          <w:szCs w:val="30"/>
        </w:rPr>
        <w:t>) увеличился с 21,7 % в 2015 г. до 40,1 % в 2019 г. (или на 18,4 процентного пункта).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Доля поставок импортозамещающей продукции на экспорт увеличилась с 27,6 % в 2015 г. до 52,7 % в 2019 г. (или на 25,1 процентного пункта).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Удельный вес производства импортозамещающей продукции организаций малого и среднего бизнеса в общем объеме импортозамещения увеличился  с 48,0 % за 2015 г. до 69,4 % за 2019 г. (или на 21,4 процентного пункта).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 w:rsidRPr="004B2FCB">
        <w:rPr>
          <w:rFonts w:ascii="Times New Roman" w:eastAsia="Times New Roman" w:hAnsi="Times New Roman"/>
          <w:sz w:val="30"/>
          <w:szCs w:val="30"/>
        </w:rPr>
        <w:t>В разрезе предприятий области в направлении выпуска импортозамещающей продукции успешно работают: ОАО «Бабушкина крынка – управляющая компания холдинга «</w:t>
      </w:r>
      <w:r w:rsidRPr="004B2FCB">
        <w:rPr>
          <w:rFonts w:ascii="Times New Roman" w:hAnsi="Times New Roman"/>
          <w:sz w:val="30"/>
          <w:szCs w:val="30"/>
        </w:rPr>
        <w:t xml:space="preserve">Могилевская молочная компания «Бабушкина крынка», ЗАО «Серволюкс Агро», 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СООО «Оазис Групп», </w:t>
      </w:r>
      <w:r w:rsidRPr="004B2FCB">
        <w:rPr>
          <w:rFonts w:ascii="Times New Roman" w:hAnsi="Times New Roman"/>
          <w:sz w:val="30"/>
          <w:szCs w:val="30"/>
        </w:rPr>
        <w:t xml:space="preserve">ИООО «Кроноспан ОСБ», ООО «Кронохем», </w:t>
      </w:r>
      <w:r w:rsidRPr="004B2FCB">
        <w:rPr>
          <w:rFonts w:ascii="Times New Roman" w:eastAsia="Times New Roman" w:hAnsi="Times New Roman"/>
          <w:sz w:val="30"/>
          <w:szCs w:val="30"/>
        </w:rPr>
        <w:t xml:space="preserve">ИЧПУП «Косметическо-парфюмерная фабрика «Сонца», ИООО «Кровельный завод «ТехноНИКОЛЬ», ЗАО «Альтимед» и другие.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Динамичному развитию внешней торговли способствует проводимая системная работа по межрегиональному сотрудничеству.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настоящее время Могилевским облисполкомом заключено более 60 документов о сотрудничестве с регионами зарубежных государств.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Продолжилось развитие межрегиональных связей со странами СНГ, Европейского союза и «дальней дуги».   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Заметно активизировалось сотрудничество с Китаем. Сегодня оно успешно осуществляется с пятью регионами (четырьмя провинциями – Цзянсу, Хэнань, Хунань, Шэньси и городом Тяньцзинь). Благодаря этому значительно увеличился и внешнеторговый оборот Могилевской области и Китая.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Так, в 2019 году внешнеторговый оборот Могилевской области и Китая составил 171,5 млн. долларов США, что почти в 3 раза больше чем в 2015 году. Экспорт товаров в 2019 году по сравнению с 2015 годом вырос в 12,6 раза и составил 26,7 млн. долларов.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Кроме того, отмечается определённый опыт в организации совместных международных мероприятий.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4B2FCB">
        <w:rPr>
          <w:rFonts w:ascii="Times New Roman" w:hAnsi="Times New Roman"/>
          <w:i/>
          <w:sz w:val="30"/>
          <w:szCs w:val="30"/>
        </w:rPr>
        <w:t>Справочно:</w:t>
      </w:r>
      <w:r w:rsidRPr="004B2FCB">
        <w:rPr>
          <w:rFonts w:ascii="Times New Roman" w:hAnsi="Times New Roman"/>
          <w:sz w:val="30"/>
          <w:szCs w:val="30"/>
        </w:rPr>
        <w:t xml:space="preserve">  </w:t>
      </w:r>
      <w:r w:rsidRPr="004B2FCB">
        <w:rPr>
          <w:rFonts w:ascii="Times New Roman" w:hAnsi="Times New Roman"/>
          <w:i/>
          <w:sz w:val="30"/>
          <w:szCs w:val="30"/>
        </w:rPr>
        <w:t>27 сентября 2018 г. в г. Могилеве прошел Белорусско-Китайский бизнес-форум, соорганизатором Форума выступил Департамент коммерции провинции Цзянсу. Также в сентябре 2019 года в области прошла первая Региональная Белорусско-Китайская неделя сотрудничества.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Расширяются связи с регионами России. Только в рамках Форумов </w:t>
      </w:r>
      <w:r w:rsidRPr="004B2FCB">
        <w:rPr>
          <w:rFonts w:ascii="Times New Roman" w:hAnsi="Times New Roman"/>
          <w:sz w:val="30"/>
          <w:szCs w:val="30"/>
        </w:rPr>
        <w:lastRenderedPageBreak/>
        <w:t xml:space="preserve">регионов Беларуси и России областным исполнительным комитетом заключены документы о сотрудничестве с 15 российскими регионами.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Проведен ряд мероприятий межрегионального характера, из которых наиболее масштабные это ‒ комплексная презентация Могилевской области на площадке Делового и культурного комплекса Посольства Республики Беларусь в Российской Федерации </w:t>
      </w:r>
      <w:r w:rsidRPr="004B2FCB">
        <w:rPr>
          <w:rFonts w:ascii="Times New Roman" w:hAnsi="Times New Roman"/>
          <w:i/>
          <w:sz w:val="30"/>
          <w:szCs w:val="30"/>
        </w:rPr>
        <w:t>(октябрь 2017 г.)</w:t>
      </w:r>
      <w:r w:rsidRPr="004B2FCB">
        <w:rPr>
          <w:rFonts w:ascii="Times New Roman" w:hAnsi="Times New Roman"/>
          <w:sz w:val="30"/>
          <w:szCs w:val="30"/>
        </w:rPr>
        <w:t xml:space="preserve">; ежегодный международный инвестиционный форум «Мельница успеха»; Форумы регионов Беларуси и России; Форумы регионов  Беларуси и Украины; Форум регионов Беларуси и Узбекистана.  </w:t>
      </w:r>
    </w:p>
    <w:p w:rsidR="00EB3C91" w:rsidRDefault="00EB3C91" w:rsidP="00EB3C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течение последних лет в области отмечен поступательный рост заработной платы. В 2019 году по отношению к 2015 году реальная заработная плата выросла на 18,2%.</w:t>
      </w:r>
    </w:p>
    <w:p w:rsidR="00EB3C91" w:rsidRPr="00C211D4" w:rsidRDefault="00EB3C91" w:rsidP="00EB3C9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211D4">
        <w:rPr>
          <w:rFonts w:ascii="Times New Roman" w:hAnsi="Times New Roman"/>
          <w:i/>
          <w:sz w:val="30"/>
          <w:szCs w:val="30"/>
        </w:rPr>
        <w:t xml:space="preserve">По  району номинальная начисленная среднемесячная заработная в 2019 году по отношению к 2015 году возросла на 55 %. </w:t>
      </w:r>
    </w:p>
    <w:p w:rsidR="00EB3C91" w:rsidRPr="004B2FCB" w:rsidRDefault="00EB3C91" w:rsidP="00EB3C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По итогам января-марта 2020 года реальная заработная плата по области выросла к соответствующему периоду прошлого года на 8,5%. Заработная плата за март 2020 года по области составила 971,0 рубль.</w:t>
      </w:r>
    </w:p>
    <w:p w:rsidR="00EB3C91" w:rsidRPr="004B2FCB" w:rsidRDefault="00EB3C91" w:rsidP="00EB3C91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 начала 2015 года по апрель 2020 года оказано содействие в трудоустройстве 121,4 тыс. гражданам, в том числе трудоустроено 78,9 тыс. безработных. </w:t>
      </w:r>
    </w:p>
    <w:p w:rsidR="00EB3C91" w:rsidRDefault="00EB3C91" w:rsidP="00EB3C91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2016–2019 годах, первом квартале 2020 года на вновь созданные рабочие места за счет создания новых производств и предприятий трудоустроено 20,4 тыс. человек.</w:t>
      </w:r>
    </w:p>
    <w:p w:rsidR="00EB3C91" w:rsidRPr="004F4036" w:rsidRDefault="00EB3C91" w:rsidP="00EB3C91">
      <w:pPr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4F4036">
        <w:rPr>
          <w:rFonts w:ascii="Times New Roman" w:hAnsi="Times New Roman"/>
          <w:i/>
          <w:sz w:val="30"/>
          <w:szCs w:val="30"/>
        </w:rPr>
        <w:t>В районе в 2016–2019 годах, первом полугодии 2020 года на вновь созданные рабочие места за счет создания новых производств и предприятий трудоустроено 623 человека.</w:t>
      </w:r>
    </w:p>
    <w:p w:rsidR="00EB3C91" w:rsidRPr="004B2FCB" w:rsidRDefault="00EB3C91" w:rsidP="00EB3C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4B2FCB">
        <w:rPr>
          <w:rFonts w:ascii="Times New Roman" w:hAnsi="Times New Roman"/>
          <w:color w:val="000000"/>
          <w:sz w:val="30"/>
          <w:szCs w:val="30"/>
        </w:rPr>
        <w:t>Принимаются меры по повышению уровня пенсий, регулярно производятся их перерасчеты в связи с ростом средней заработной платы работников и бюджета прожиточного минимума в среднем на душу населения. Так, средний размер пенсии по возрасту с мая 2020 года  составляет 444,1 руб. и увеличился к январю 2020 г. на 3,4%,  к январю 2016 года - на 65,2%.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последние годы выполнены масштабные работы по строительству, модернизации, реконструкции и ремонту объектов здравоохранения области.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Так, в 2016 году введен в эксплуатацию лечебно-диагностический корпус УЗ «Кричевская центральная районная больница». В 2017 году открыта лаборатория исследования пищевых продуктов на 60 тысяч проводимых исследований в год в г. Могилеве. В 2018 году введены в эксплуатацию операционный корпус в УЗ «Могилевский областной онкологический диспансер» и новый 3-х этажный корпус УЗ </w:t>
      </w:r>
      <w:r w:rsidRPr="004B2FCB">
        <w:rPr>
          <w:rFonts w:ascii="Times New Roman" w:hAnsi="Times New Roman"/>
          <w:sz w:val="30"/>
          <w:szCs w:val="30"/>
        </w:rPr>
        <w:lastRenderedPageBreak/>
        <w:t>«Могилевская городская больница скорой медицинской помощи». В июне 2019 года открыт патоморфологический корпус УЗ «Могилевский областной онкологический диспансер».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УЗ «Могилевская городская больница скорой медицинской помощи» открыты ангиографический кабинет и кабинет лазерной микрохирургии глаза, помещение для работы магнитно-резонансного томографа. Открыт блок краткосрочного пребывания, оснащенный самым современным оборудованием и отделение пластической эстетической хирургии. Завершена реконструкция родильного дома больницы.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На протяжении последних 3-х лет активно осуществлено переоснащение медицинским оборудованием учреждений здравоохранения Могилевской области.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Парк автомобилей скорой медицинской помощи  в областном центре за последние годы обновился на 29 единиц автомашин. Только в 2019 году приобретено 12 специализированных автомобилей. </w:t>
      </w:r>
    </w:p>
    <w:p w:rsidR="00EB3C91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планах – строительство кардиохирургического корпуса в УЗ «Могилевская областная больница».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Амбулаторная помощь населению Кричевского района оказывается: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- поликлиническим  отделением,  расположенным  по улице, Вокзальная, 98      на 715 посещений;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- педиатрическим отделением на 100 посещений;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- стоматологическая поликлиника на 120 посещений;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- Городской амбулаторией врача общей практики №1, ул. Космонавтов, 14  на 60 посещений;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- Бельской  амбулаторией врача общей практики на 60 посещений в смену;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- Ботвиновской  амбулаторией врача общей практики на 30 посещений в смену;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- Краснобудской  амбулаторией врача общей практики на  30 посещений в смену;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- 11 фельдшерско-акушерскими пунктами;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- 2 здравпунктами.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 Стационарная помощь  оказывается 8 отделениями на 220 коек: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- терапевтическое отделение на 50 коек,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из них: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- терапевтических – 30, из них 4 койки дневного стационара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- кардиологических - 20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- хирургическое отделение на 60 коек,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из них: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- хирургический профиль на 45 коек, из них 4 койки дневного </w:t>
      </w:r>
      <w:r w:rsidRPr="00A87738">
        <w:rPr>
          <w:rFonts w:ascii="Times New Roman" w:hAnsi="Times New Roman"/>
          <w:i/>
          <w:sz w:val="30"/>
          <w:szCs w:val="30"/>
        </w:rPr>
        <w:lastRenderedPageBreak/>
        <w:t xml:space="preserve">стационара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- травматологический профиль на 15 коек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- отделение реанимации и интенсивной терапии на 6 коек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- урологическое отделение (межрайонное) на 24  койки, из них 2 койки дневного стационара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- неврологическое отделение на 23 койки, из них 2 койки дневного стационара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в том числе койки для инсультных больных -15 коек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- гинекологическое отделение на 24 койки, из них 4 койки дневного стационара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- педиатрическое  отделение на 21 койку, из них 2 койки дневного стационара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- инфекционное отделение 12 коек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- больница сестринского ухода 35 коек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Общее количество коек по району – 255, в том числе дневного пребывания 18 коек.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В течение последних 15 лет в здравоохранении района произошел ряд значимых событий.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В августе-сентябре 2006 года районная поликлиника разместилась на площадях бывшего детского санатория «Колос» по адресу: г. Кричев, ул. Вокзальная, 98.  В настоящее время амбулаторная помощь оказывается по 24 врачебным специальностям, посещения рассчитаны на 715 в сутки. 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В июне 2009 года терапевтическое отделение учреждения переведено в отремонтированное здание бывшей районной поликлиники.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Создан и работает ряд межрайонных отделений: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- межрайонный кардиологический кабинет;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- межрайонное урологическое отделение;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- межрайонный эндовидеолапароскопический центр;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- межрайонный кабинет рентгенокомпьютерной диагностики.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В 2012 году на базе поликлинического отделения организована работа отделения медицинской реабилитации.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В августе 2016 года открыт новый лечебно-диагностический корпус, в котором разместились приемное отделение, клинико-диагностическая лаборатория, кабинеты ультразвуковой, рентгенологической, эндоскопической диагностик. Отделение реанимации и анестезиологии, операционный блок, палаты для послеоперационных больных, кабинеты администрации. 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В этом же году во вновь отремонтированное здание переведен терапевтический участок, в 2017 году переведен в статус городской врачебной амбулатории №1. 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lastRenderedPageBreak/>
        <w:t xml:space="preserve">В течение 2017 года для совершенствования лечебных и диагностических мероприятий введены в эксплуатацию иммунофлюоресцентный анализатор «MINIVIDAS», что позволило освоить методику определения онкомаркеров рака молочной железы, проводить исследования уровня гормонов репродуктивной сферы.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На отремонтированных площадях 3-х этажного лечебного корпуса разместились палаты детского, хирургического и гинекологического  отделений.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В 2017 году внедрена дистанционная передача электрокардиограммы пациента от фельдшера бригады СМП до отделения реанимации.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В 2018 году на базе поликлинического отделения установлен и введен в эксплуатацию современный рентгенодиагностический аппарат «Пульмоскан», для проведения рентгенодиагностических исследований методом флюорографии. Установлено видеонаблюдение. Завершена компьютеризация рабочих мест медицинских регистраторов. Внедрен в практику электронный рецепт. 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>В течение 2018-2020 годы продолжается совершенствование работы по внедрению электронной карты пациента.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В ноябре-декабре 2019 г. УП «Адани» выполнена установка компьютерного томографа, работа на данном аппарате проводится с января 2020 г.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Часть помещений поликлинического отделения  приведена в соответствие под установку рентгеновского аппарата «МАММОСКАН». Диагностические исследования проводятся с января 2020 г. </w:t>
      </w:r>
    </w:p>
    <w:p w:rsidR="00EB3C91" w:rsidRPr="00A87738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30"/>
          <w:szCs w:val="30"/>
        </w:rPr>
      </w:pPr>
      <w:r w:rsidRPr="00A87738">
        <w:rPr>
          <w:rFonts w:ascii="Times New Roman" w:hAnsi="Times New Roman"/>
          <w:i/>
          <w:sz w:val="30"/>
          <w:szCs w:val="30"/>
        </w:rPr>
        <w:t xml:space="preserve">В 2020 г. продолжаются работы по благоустройству прилегающих к структурным подразделениям территорий, планируется завершение ремонтных работ в здании бывшего неврологического отделения с дальнейшим переводом больницы сестринского ухода. </w:t>
      </w:r>
    </w:p>
    <w:p w:rsidR="00EB3C91" w:rsidRPr="004B2FCB" w:rsidRDefault="00EB3C91" w:rsidP="00EB3C91">
      <w:pPr>
        <w:pStyle w:val="1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С 2015 по 2019 годы и 4 месяца 2020 г. на территории Могилевской области отмечается снижение преступности</w:t>
      </w:r>
      <w:r w:rsidRPr="004B2FCB">
        <w:rPr>
          <w:rStyle w:val="145pt"/>
          <w:rFonts w:ascii="Times New Roman" w:hAnsi="Times New Roman"/>
          <w:sz w:val="30"/>
          <w:szCs w:val="30"/>
        </w:rPr>
        <w:t xml:space="preserve"> (2015 г. - 11103,  2019</w:t>
      </w:r>
      <w:r w:rsidRPr="004B2FCB">
        <w:rPr>
          <w:rFonts w:ascii="Times New Roman" w:hAnsi="Times New Roman"/>
          <w:i/>
          <w:sz w:val="30"/>
          <w:szCs w:val="30"/>
        </w:rPr>
        <w:t xml:space="preserve"> г. - 9900 преступлений</w:t>
      </w:r>
      <w:r w:rsidRPr="004B2FCB">
        <w:rPr>
          <w:rFonts w:ascii="Times New Roman" w:hAnsi="Times New Roman"/>
          <w:sz w:val="30"/>
          <w:szCs w:val="30"/>
        </w:rPr>
        <w:t>).</w:t>
      </w:r>
    </w:p>
    <w:p w:rsidR="00EB3C91" w:rsidRPr="004B2FCB" w:rsidRDefault="00EB3C91" w:rsidP="00EB3C91">
      <w:pPr>
        <w:pStyle w:val="40"/>
        <w:shd w:val="clear" w:color="auto" w:fill="auto"/>
        <w:spacing w:line="240" w:lineRule="auto"/>
        <w:ind w:left="20" w:right="20" w:firstLine="720"/>
        <w:rPr>
          <w:rFonts w:ascii="Times New Roman" w:hAnsi="Times New Roman"/>
          <w:sz w:val="30"/>
          <w:szCs w:val="30"/>
        </w:rPr>
      </w:pPr>
      <w:r w:rsidRPr="004B2FCB">
        <w:rPr>
          <w:rStyle w:val="414pt"/>
          <w:rFonts w:ascii="Times New Roman" w:hAnsi="Times New Roman"/>
          <w:sz w:val="30"/>
          <w:szCs w:val="30"/>
        </w:rPr>
        <w:t>Меньше совершено преступлений на 10 тысяч населения</w:t>
      </w:r>
      <w:r w:rsidRPr="004B2FCB">
        <w:rPr>
          <w:rFonts w:ascii="Times New Roman" w:hAnsi="Times New Roman"/>
          <w:sz w:val="30"/>
          <w:szCs w:val="30"/>
        </w:rPr>
        <w:t xml:space="preserve"> </w:t>
      </w:r>
      <w:r w:rsidRPr="004B2FCB">
        <w:rPr>
          <w:rFonts w:ascii="Times New Roman" w:hAnsi="Times New Roman"/>
          <w:i/>
          <w:sz w:val="30"/>
          <w:szCs w:val="30"/>
        </w:rPr>
        <w:t>(2015 г. - 103,6; 2019 г. – 93,8 преступлений)</w:t>
      </w:r>
      <w:r w:rsidRPr="004B2FCB">
        <w:rPr>
          <w:rFonts w:ascii="Times New Roman" w:hAnsi="Times New Roman"/>
          <w:sz w:val="30"/>
          <w:szCs w:val="30"/>
        </w:rPr>
        <w:t>, преступлений по линии наркоконтроля и противодействия торговле людьми</w:t>
      </w:r>
      <w:r w:rsidRPr="004B2FCB">
        <w:rPr>
          <w:rStyle w:val="145pt"/>
          <w:rFonts w:ascii="Times New Roman" w:hAnsi="Times New Roman"/>
          <w:sz w:val="30"/>
          <w:szCs w:val="30"/>
        </w:rPr>
        <w:t xml:space="preserve"> (2015 г. - 837; 2019 г. - 604).</w:t>
      </w:r>
    </w:p>
    <w:p w:rsidR="00EB3C91" w:rsidRPr="004B2FCB" w:rsidRDefault="00EB3C91" w:rsidP="00EB3C91">
      <w:pPr>
        <w:pStyle w:val="40"/>
        <w:shd w:val="clear" w:color="auto" w:fill="auto"/>
        <w:spacing w:line="240" w:lineRule="auto"/>
        <w:ind w:right="20" w:firstLine="720"/>
        <w:rPr>
          <w:rFonts w:ascii="Times New Roman" w:hAnsi="Times New Roman"/>
          <w:sz w:val="30"/>
          <w:szCs w:val="30"/>
        </w:rPr>
      </w:pPr>
      <w:r w:rsidRPr="004B2FCB">
        <w:rPr>
          <w:rStyle w:val="414pt"/>
          <w:rFonts w:ascii="Times New Roman" w:hAnsi="Times New Roman"/>
          <w:sz w:val="30"/>
          <w:szCs w:val="30"/>
        </w:rPr>
        <w:t>С 2015 года уменьшилось количество ДТП (</w:t>
      </w:r>
      <w:r w:rsidRPr="004B2FCB">
        <w:rPr>
          <w:rFonts w:ascii="Times New Roman" w:hAnsi="Times New Roman"/>
          <w:i/>
          <w:sz w:val="30"/>
          <w:szCs w:val="30"/>
        </w:rPr>
        <w:t>2015 г. - 579; 2019 г. - 412)</w:t>
      </w:r>
      <w:r w:rsidRPr="004B2FCB">
        <w:rPr>
          <w:rFonts w:ascii="Times New Roman" w:hAnsi="Times New Roman"/>
          <w:sz w:val="30"/>
          <w:szCs w:val="30"/>
        </w:rPr>
        <w:t>,</w:t>
      </w:r>
      <w:r w:rsidRPr="004B2FCB">
        <w:rPr>
          <w:rStyle w:val="414pt"/>
          <w:rFonts w:ascii="Times New Roman" w:hAnsi="Times New Roman"/>
          <w:sz w:val="30"/>
          <w:szCs w:val="30"/>
        </w:rPr>
        <w:t xml:space="preserve"> погибших </w:t>
      </w:r>
      <w:r w:rsidRPr="004B2FCB">
        <w:rPr>
          <w:rFonts w:ascii="Times New Roman" w:hAnsi="Times New Roman"/>
          <w:i/>
          <w:sz w:val="30"/>
          <w:szCs w:val="30"/>
        </w:rPr>
        <w:t xml:space="preserve">(2015 г. - 92; 2019 г. - 52). </w:t>
      </w:r>
      <w:r w:rsidRPr="004B2FCB">
        <w:rPr>
          <w:rStyle w:val="414pt"/>
          <w:rFonts w:ascii="Times New Roman" w:hAnsi="Times New Roman"/>
          <w:sz w:val="30"/>
          <w:szCs w:val="30"/>
        </w:rPr>
        <w:t xml:space="preserve"> </w:t>
      </w:r>
    </w:p>
    <w:p w:rsidR="00EB3C91" w:rsidRPr="004B2FCB" w:rsidRDefault="00EB3C91" w:rsidP="00EB3C91">
      <w:pPr>
        <w:pStyle w:val="newncpi"/>
        <w:rPr>
          <w:sz w:val="30"/>
          <w:szCs w:val="30"/>
        </w:rPr>
      </w:pPr>
      <w:r w:rsidRPr="004B2FCB">
        <w:rPr>
          <w:sz w:val="30"/>
          <w:szCs w:val="30"/>
        </w:rPr>
        <w:t xml:space="preserve">Результаты работы торговли области в 2016 – 1 квартале 2020 года характеризуются динамичным развитием внутреннего потребительского </w:t>
      </w:r>
      <w:r w:rsidRPr="004B2FCB">
        <w:rPr>
          <w:sz w:val="30"/>
          <w:szCs w:val="30"/>
        </w:rPr>
        <w:lastRenderedPageBreak/>
        <w:t>рынка. В</w:t>
      </w:r>
      <w:r w:rsidRPr="004B2FCB">
        <w:rPr>
          <w:color w:val="000000"/>
          <w:sz w:val="30"/>
          <w:szCs w:val="30"/>
        </w:rPr>
        <w:t xml:space="preserve"> области наблюдается </w:t>
      </w:r>
      <w:r w:rsidRPr="004B2FCB">
        <w:rPr>
          <w:sz w:val="30"/>
          <w:szCs w:val="30"/>
        </w:rPr>
        <w:t xml:space="preserve">стабильная ситуация по обеспечению насыщенности потребительского рынка, бесперебойному наличию в нем товаров. </w:t>
      </w:r>
    </w:p>
    <w:p w:rsidR="00EB3C91" w:rsidRDefault="00EB3C91" w:rsidP="00EB3C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условиях ценовой стабильности, роста доходов населения за 2016 – 1 квартал 2020 года обеспечен темп роста розничного товарооборота в целом по области 116,7% в сопоставимых ценах. </w:t>
      </w:r>
    </w:p>
    <w:p w:rsidR="00EB3C91" w:rsidRPr="004278E6" w:rsidRDefault="00EB3C91" w:rsidP="00EB3C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4278E6">
        <w:rPr>
          <w:rFonts w:ascii="Times New Roman" w:hAnsi="Times New Roman"/>
          <w:i/>
          <w:sz w:val="30"/>
          <w:szCs w:val="30"/>
        </w:rPr>
        <w:t xml:space="preserve">По району обеспечен темп роста розничного товарооборота               109,8 % в сопоставимых ценах. </w:t>
      </w:r>
    </w:p>
    <w:p w:rsidR="00EB3C91" w:rsidRPr="004278E6" w:rsidRDefault="00EB3C91" w:rsidP="00EB3C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4278E6">
        <w:rPr>
          <w:rFonts w:ascii="Times New Roman" w:hAnsi="Times New Roman"/>
          <w:i/>
          <w:sz w:val="30"/>
          <w:szCs w:val="30"/>
        </w:rPr>
        <w:t>На протяжении ряда лет район занимает второе место по товарообороту на душу населения среди районов области (за исключением городов Могилева и Бобруйска).</w:t>
      </w:r>
    </w:p>
    <w:p w:rsidR="00EB3C91" w:rsidRDefault="00EB3C91" w:rsidP="00EB3C91">
      <w:pPr>
        <w:pStyle w:val="newncpi"/>
        <w:rPr>
          <w:sz w:val="30"/>
          <w:szCs w:val="30"/>
        </w:rPr>
      </w:pPr>
      <w:r w:rsidRPr="004B2FCB">
        <w:rPr>
          <w:sz w:val="30"/>
          <w:szCs w:val="30"/>
        </w:rPr>
        <w:t xml:space="preserve">По данным Торгового реестра Республики Беларусь, за период с 2016 – 1 квартал 2020 года количество объектов розничной торговли увеличилось на 2302 единицы и составило 13794. Показатель обеспеченности населения торговыми площадями в целом по области увеличился до 747,6 кв.м. на 1 тыс. жителей при нормативе – 600 кв. м. на 1 тыс. жителей. </w:t>
      </w:r>
    </w:p>
    <w:p w:rsidR="00EB3C91" w:rsidRPr="004278E6" w:rsidRDefault="00EB3C91" w:rsidP="00EB3C91">
      <w:pPr>
        <w:pStyle w:val="newncpi"/>
        <w:rPr>
          <w:i/>
          <w:sz w:val="30"/>
          <w:szCs w:val="30"/>
        </w:rPr>
      </w:pPr>
      <w:r w:rsidRPr="004278E6">
        <w:rPr>
          <w:i/>
          <w:sz w:val="30"/>
          <w:szCs w:val="30"/>
        </w:rPr>
        <w:t>По району за период с 2016 – 1 полугодие 2020 года количество объектов розничной торговли увеличилось на 83 единицы и составило 429.</w:t>
      </w:r>
    </w:p>
    <w:p w:rsidR="00EB3C91" w:rsidRPr="004B2FCB" w:rsidRDefault="00EB3C91" w:rsidP="00EB3C9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>Развитие потребительского рынка области в 2021-2025 годы будет направлено на удовлетворение платежеспособного спроса населения на потребительские товары с высоким уровнем качества и по доступным ценам, в т.ч. посредством совершенствования инфраструктуры торговли и ее цифровизации.</w:t>
      </w:r>
      <w:r w:rsidRPr="004B2FCB">
        <w:rPr>
          <w:rFonts w:ascii="Times New Roman" w:hAnsi="Times New Roman"/>
          <w:sz w:val="30"/>
          <w:szCs w:val="30"/>
        </w:rPr>
        <w:tab/>
      </w:r>
    </w:p>
    <w:p w:rsidR="00EB3C91" w:rsidRPr="004B2FCB" w:rsidRDefault="00EB3C91" w:rsidP="00EB3C91">
      <w:pPr>
        <w:pStyle w:val="Style4"/>
        <w:widowControl/>
        <w:ind w:firstLine="715"/>
        <w:jc w:val="both"/>
        <w:rPr>
          <w:sz w:val="30"/>
          <w:szCs w:val="30"/>
        </w:rPr>
      </w:pPr>
      <w:r w:rsidRPr="004B2FCB">
        <w:rPr>
          <w:sz w:val="30"/>
          <w:szCs w:val="30"/>
        </w:rPr>
        <w:t>В целях обеспечения целевого индикатора по розничному товарообороту в области продолжат свое развитие:</w:t>
      </w:r>
    </w:p>
    <w:p w:rsidR="00EB3C91" w:rsidRPr="004B2FCB" w:rsidRDefault="00EB3C91" w:rsidP="00EB3C9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>торговая инфраструктура за счет увеличения розничных торговых объектов;</w:t>
      </w:r>
    </w:p>
    <w:p w:rsidR="00EB3C91" w:rsidRPr="004B2FCB" w:rsidRDefault="00EB3C91" w:rsidP="00EB3C9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 xml:space="preserve">внемагазинные формы продаж (интернет – торговля, торговля по образцам с использованием электронных платежных инструментов и средств платежа); </w:t>
      </w:r>
    </w:p>
    <w:p w:rsidR="00EB3C91" w:rsidRPr="004B2FCB" w:rsidRDefault="00EB3C91" w:rsidP="00EB3C9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>современные формы обслуживания (бесконтактные и мобильные платежи, автоматизированные расчеты за покупки при помощи электронных устройств и пр.).</w:t>
      </w:r>
    </w:p>
    <w:p w:rsidR="00EB3C91" w:rsidRPr="004B2FCB" w:rsidRDefault="00EB3C91" w:rsidP="00EB3C9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ab/>
        <w:t>Совершенствование торговой сети будет осуществляться как за счет многоформатной торговой инфраструктуры с предоставлением различного рода дополнительных услуг (парикмахерских, услуг по ремонту одежды и обуви и др.), так и путем развития магазинов шаговой доступности, стрит-ритейла.</w:t>
      </w:r>
    </w:p>
    <w:p w:rsidR="00EB3C91" w:rsidRPr="004B2FCB" w:rsidRDefault="00EB3C91" w:rsidP="00EB3C9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bCs/>
          <w:sz w:val="30"/>
          <w:szCs w:val="30"/>
        </w:rPr>
        <w:t xml:space="preserve">Развитие сферы общественного питания </w:t>
      </w:r>
      <w:r w:rsidRPr="004B2FCB">
        <w:rPr>
          <w:rFonts w:ascii="Times New Roman" w:hAnsi="Times New Roman"/>
          <w:sz w:val="30"/>
          <w:szCs w:val="30"/>
        </w:rPr>
        <w:t xml:space="preserve">будет направлено на </w:t>
      </w:r>
      <w:r w:rsidRPr="004B2FCB">
        <w:rPr>
          <w:rFonts w:ascii="Times New Roman" w:hAnsi="Times New Roman"/>
          <w:bCs/>
          <w:sz w:val="30"/>
          <w:szCs w:val="30"/>
        </w:rPr>
        <w:t xml:space="preserve"> совершенствование материально – технической базы существующих, а </w:t>
      </w:r>
      <w:r w:rsidRPr="004B2FCB">
        <w:rPr>
          <w:rFonts w:ascii="Times New Roman" w:hAnsi="Times New Roman"/>
          <w:bCs/>
          <w:sz w:val="30"/>
          <w:szCs w:val="30"/>
        </w:rPr>
        <w:lastRenderedPageBreak/>
        <w:t xml:space="preserve">также </w:t>
      </w:r>
      <w:r w:rsidRPr="004B2FCB">
        <w:rPr>
          <w:rFonts w:ascii="Times New Roman" w:hAnsi="Times New Roman"/>
          <w:sz w:val="30"/>
          <w:szCs w:val="30"/>
        </w:rPr>
        <w:t xml:space="preserve">создание реальной конкурентной среды на рынке услуг питания за счет развития сети объектов общественного питания и совершенствования ее структуры, с учетом либерализации условий ведения ресторанного бизнеса, </w:t>
      </w:r>
      <w:r w:rsidRPr="004B2FCB">
        <w:rPr>
          <w:rFonts w:ascii="Times New Roman" w:hAnsi="Times New Roman"/>
          <w:bCs/>
          <w:sz w:val="30"/>
          <w:szCs w:val="30"/>
        </w:rPr>
        <w:t>открытия новых объектов общественного питания</w:t>
      </w:r>
      <w:r w:rsidRPr="004B2FCB">
        <w:rPr>
          <w:rFonts w:ascii="Times New Roman" w:hAnsi="Times New Roman"/>
          <w:sz w:val="30"/>
          <w:szCs w:val="30"/>
        </w:rPr>
        <w:t xml:space="preserve"> различного формата, в том числе </w:t>
      </w:r>
      <w:r w:rsidRPr="004B2FCB">
        <w:rPr>
          <w:rFonts w:ascii="Times New Roman" w:hAnsi="Times New Roman"/>
          <w:bCs/>
          <w:sz w:val="30"/>
          <w:szCs w:val="30"/>
        </w:rPr>
        <w:t xml:space="preserve">объектов быстрого обслуживания (кофейни, мини-кафе, рестораны быстрого обслуживания), </w:t>
      </w:r>
      <w:r w:rsidRPr="004B2FCB">
        <w:rPr>
          <w:rFonts w:ascii="Times New Roman" w:hAnsi="Times New Roman"/>
          <w:sz w:val="30"/>
          <w:szCs w:val="30"/>
        </w:rPr>
        <w:t>включения в меню национальных блюд, основанных на традициях белорусской национальной кухни. Дальнейшее развитие получит организация работы по доставке продукции собственного производства по  заказам потребителей с использованием интернет-сети, развитие кейтеринговых услуг.</w:t>
      </w:r>
    </w:p>
    <w:p w:rsidR="00EB3C91" w:rsidRPr="004B2FCB" w:rsidRDefault="00EB3C91" w:rsidP="00EB3C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Могилевская область вносит весомый вклад </w:t>
      </w:r>
      <w:r>
        <w:rPr>
          <w:rFonts w:ascii="Times New Roman" w:hAnsi="Times New Roman"/>
          <w:sz w:val="30"/>
          <w:szCs w:val="30"/>
        </w:rPr>
        <w:t xml:space="preserve"> и </w:t>
      </w:r>
      <w:r w:rsidRPr="004B2FCB">
        <w:rPr>
          <w:rFonts w:ascii="Times New Roman" w:hAnsi="Times New Roman"/>
          <w:sz w:val="30"/>
          <w:szCs w:val="30"/>
        </w:rPr>
        <w:t>в развитие олим</w:t>
      </w:r>
      <w:r w:rsidRPr="004B2FCB">
        <w:rPr>
          <w:rFonts w:ascii="Times New Roman" w:hAnsi="Times New Roman"/>
          <w:sz w:val="30"/>
          <w:szCs w:val="30"/>
        </w:rPr>
        <w:softHyphen/>
        <w:t>пийского движения. В 2016 году на летних Олимпийских играх 2016 года в Рио-де-Жанейро завоевано 2 серебряные медали - Вадим Стрельцов и Дарья Наумова (тяжелая атлетика). На Паралимпийских играх в Рио-де-Жанейро Игорь Бокий завоевал 6 золотых и 1 бронзовую медаль, установив шесть паралимпийских и два мировых рекорда (плавание - инваспорт).</w:t>
      </w:r>
    </w:p>
    <w:p w:rsidR="00EB3C91" w:rsidRPr="004B2FCB" w:rsidRDefault="00EB3C91" w:rsidP="00EB3C9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2018 году на зимних Олимпийских играх в Пхенчхане победителем стала Динара Алимбекова (биатлон). Юрий Голуб завоевал одну золотую, две серебряных и одну бронзовую медали на Паралимпиаде (инваспорт- биатлон, лыжные гонки).</w:t>
      </w:r>
    </w:p>
    <w:p w:rsidR="00EB3C91" w:rsidRPr="004B2FCB" w:rsidRDefault="00EB3C91" w:rsidP="00EB3C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color w:val="000000"/>
          <w:sz w:val="30"/>
          <w:szCs w:val="30"/>
        </w:rPr>
        <w:t xml:space="preserve">В 2019 году на </w:t>
      </w:r>
      <w:r w:rsidRPr="004B2FCB">
        <w:rPr>
          <w:rFonts w:ascii="Times New Roman" w:hAnsi="Times New Roman"/>
          <w:color w:val="000000"/>
          <w:sz w:val="30"/>
          <w:szCs w:val="30"/>
          <w:lang w:val="en-US"/>
        </w:rPr>
        <w:t>II</w:t>
      </w:r>
      <w:r w:rsidRPr="004B2FCB">
        <w:rPr>
          <w:rFonts w:ascii="Times New Roman" w:hAnsi="Times New Roman"/>
          <w:color w:val="000000"/>
          <w:sz w:val="30"/>
          <w:szCs w:val="30"/>
        </w:rPr>
        <w:t xml:space="preserve"> Европейских играх спортсменами Могилевщины завоевано 10 - медалей (на </w:t>
      </w:r>
      <w:r w:rsidRPr="004B2FCB">
        <w:rPr>
          <w:rFonts w:ascii="Times New Roman" w:hAnsi="Times New Roman"/>
          <w:color w:val="000000"/>
          <w:sz w:val="30"/>
          <w:szCs w:val="30"/>
          <w:lang w:val="en-US"/>
        </w:rPr>
        <w:t>I</w:t>
      </w:r>
      <w:r w:rsidRPr="004B2FCB">
        <w:rPr>
          <w:rFonts w:ascii="Times New Roman" w:hAnsi="Times New Roman"/>
          <w:color w:val="000000"/>
          <w:sz w:val="30"/>
          <w:szCs w:val="30"/>
        </w:rPr>
        <w:t xml:space="preserve"> Европейских играх - 6).</w:t>
      </w:r>
      <w:r w:rsidRPr="004B2FCB">
        <w:rPr>
          <w:rFonts w:ascii="Times New Roman" w:hAnsi="Times New Roman"/>
          <w:sz w:val="30"/>
          <w:szCs w:val="30"/>
        </w:rPr>
        <w:t xml:space="preserve"> </w:t>
      </w:r>
    </w:p>
    <w:p w:rsidR="00EB3C91" w:rsidRPr="004B2FCB" w:rsidRDefault="00EB3C91" w:rsidP="00EB3C9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Спортсменами Могилевской области на чемпионатах, Кубках и первенствах мира и Европы за олимпийский цикл 2013-2016 годов завоевано 424 медали различного достоинства, за олимпийский цикл 2017-2020 годов в настоящее время завоевано 407 медалей,  в том числе в 2019 году - 142 медалей различного достоинства, из них 105 - по олимпийским видам спорта.  Это лучший показатель за последние 20 лет. </w:t>
      </w:r>
    </w:p>
    <w:p w:rsidR="00EB3C91" w:rsidRPr="004B2FCB" w:rsidRDefault="00EB3C91" w:rsidP="00EB3C9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 2015-2019 годах велась работа по совершенствованию материальной базы физкультурно-спортивной отрасли области.</w:t>
      </w:r>
    </w:p>
    <w:p w:rsidR="00EB3C91" w:rsidRDefault="00EB3C91" w:rsidP="00EB3C91">
      <w:pPr>
        <w:spacing w:after="0" w:line="240" w:lineRule="auto"/>
        <w:ind w:firstLine="705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2015 году проведена реконструкция зала борьбы СДЮШОР №3 и зала тяжелой атлетики СДЮШОР «Спартак-2005» в г. Могилеве, зала борьбы ДЮСШ №3 и </w:t>
      </w:r>
      <w:r w:rsidRPr="004B2FCB">
        <w:rPr>
          <w:rFonts w:ascii="Times New Roman" w:hAnsi="Times New Roman"/>
          <w:sz w:val="30"/>
          <w:szCs w:val="30"/>
          <w:lang w:val="be-BY"/>
        </w:rPr>
        <w:t xml:space="preserve">стадиона имени Александра Прокопенко в </w:t>
      </w:r>
      <w:r w:rsidRPr="004B2FCB">
        <w:rPr>
          <w:rFonts w:ascii="Times New Roman" w:hAnsi="Times New Roman"/>
          <w:sz w:val="30"/>
          <w:szCs w:val="30"/>
        </w:rPr>
        <w:t xml:space="preserve">г.Бобруйске. В 2016 году завершена реконструкция спортивного комплекса в г.Быхове (спортзал), введена в строй ледовая арена в г.Шклове и физкультурно-спортивный комплекс в г.п.Краснополье. В 2017 году введен в строй физкультурно-спортивный комплекс в г.Костюковичи. Завершена реконструкция бассейна в г.Глуске. Введен в эксплуатацию бассейн, тренажерный и 2 спортивных зала в средней </w:t>
      </w:r>
      <w:r w:rsidRPr="004B2FCB">
        <w:rPr>
          <w:rFonts w:ascii="Times New Roman" w:hAnsi="Times New Roman"/>
          <w:sz w:val="30"/>
          <w:szCs w:val="30"/>
        </w:rPr>
        <w:lastRenderedPageBreak/>
        <w:t>школе г.Кричева. В 2018 году введен в эксплуатацию физкультурно-оздоровительный центр «Жемчужина» в г.Осиповичи,  бассейн, 2 тренажерных и 2 спортивных зала в средней школе г.Бобруйска. В 2019  году з</w:t>
      </w:r>
      <w:r w:rsidRPr="004B2FCB">
        <w:rPr>
          <w:rFonts w:ascii="Times New Roman" w:hAnsi="Times New Roman"/>
          <w:sz w:val="30"/>
          <w:szCs w:val="30"/>
          <w:lang w:val="be-BY"/>
        </w:rPr>
        <w:t xml:space="preserve">авершено строительство футбольного манежа и реконструкция </w:t>
      </w:r>
      <w:r w:rsidRPr="004B2FCB">
        <w:rPr>
          <w:rFonts w:ascii="Times New Roman" w:hAnsi="Times New Roman"/>
          <w:sz w:val="30"/>
          <w:szCs w:val="30"/>
        </w:rPr>
        <w:t>«</w:t>
      </w:r>
      <w:r w:rsidRPr="004B2FCB">
        <w:rPr>
          <w:rFonts w:ascii="Times New Roman" w:hAnsi="Times New Roman"/>
          <w:sz w:val="30"/>
          <w:szCs w:val="30"/>
          <w:lang w:val="be-BY"/>
        </w:rPr>
        <w:t>Космос-корта</w:t>
      </w:r>
      <w:r w:rsidRPr="004B2FCB">
        <w:rPr>
          <w:rFonts w:ascii="Times New Roman" w:hAnsi="Times New Roman"/>
          <w:sz w:val="30"/>
          <w:szCs w:val="30"/>
        </w:rPr>
        <w:t xml:space="preserve">», </w:t>
      </w:r>
      <w:r w:rsidRPr="004B2FCB">
        <w:rPr>
          <w:rFonts w:ascii="Times New Roman" w:hAnsi="Times New Roman"/>
          <w:sz w:val="30"/>
          <w:szCs w:val="30"/>
          <w:lang w:val="be-BY"/>
        </w:rPr>
        <w:t>в</w:t>
      </w:r>
      <w:r w:rsidRPr="004B2FCB">
        <w:rPr>
          <w:rFonts w:ascii="Times New Roman" w:hAnsi="Times New Roman"/>
          <w:sz w:val="30"/>
          <w:szCs w:val="30"/>
        </w:rPr>
        <w:t xml:space="preserve">ведены в эксплуатацию 2 тренажерных и  спортивный зал в средней школе </w:t>
      </w:r>
      <w:r w:rsidRPr="004B2FCB">
        <w:rPr>
          <w:rFonts w:ascii="Times New Roman" w:hAnsi="Times New Roman"/>
          <w:sz w:val="30"/>
          <w:szCs w:val="30"/>
          <w:lang w:val="be-BY"/>
        </w:rPr>
        <w:t xml:space="preserve">в Могилеве. </w:t>
      </w:r>
      <w:r w:rsidRPr="004B2FCB">
        <w:rPr>
          <w:rFonts w:ascii="Times New Roman" w:hAnsi="Times New Roman"/>
          <w:sz w:val="30"/>
          <w:szCs w:val="30"/>
        </w:rPr>
        <w:t>Проведена реконструкция городского стадиона в Глуске.</w:t>
      </w:r>
    </w:p>
    <w:p w:rsidR="00EB3C91" w:rsidRPr="00C84326" w:rsidRDefault="00EB3C91" w:rsidP="00EB3C9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30"/>
          <w:szCs w:val="30"/>
        </w:rPr>
      </w:pPr>
      <w:r w:rsidRPr="00C84326">
        <w:rPr>
          <w:rFonts w:ascii="Times New Roman" w:hAnsi="Times New Roman"/>
          <w:i/>
          <w:sz w:val="30"/>
          <w:szCs w:val="30"/>
        </w:rPr>
        <w:t>Кричевский район вносит определенный вклад в развитие олимпийского движения Могилевской области.</w:t>
      </w:r>
    </w:p>
    <w:p w:rsidR="00EB3C91" w:rsidRPr="00C84326" w:rsidRDefault="00EB3C91" w:rsidP="00EB3C9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C84326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В течение 2019 г. учащиеся СДЮШОР приняли участие в                        29 соревнованиях областного уровня, в 18 соревнованиях республиканского уровня, 5 соревнованиях международного уровня.</w:t>
      </w:r>
    </w:p>
    <w:p w:rsidR="00EB3C91" w:rsidRPr="00C84326" w:rsidRDefault="00EB3C91" w:rsidP="00EB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84326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На высоком организационном уровне в г.Кричеве                  проходит </w:t>
      </w:r>
      <w:r w:rsidRPr="00C843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Республиканский турнир по борьбе вольной среди юношей и девушек. В 2019 г. в турнире приняли участие 450 юных борцов из 35 команд Беларуси, России и Украины.</w:t>
      </w:r>
    </w:p>
    <w:p w:rsidR="00EB3C91" w:rsidRPr="00C84326" w:rsidRDefault="00EB3C91" w:rsidP="00EB3C9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Cs/>
          <w:i/>
          <w:sz w:val="30"/>
          <w:szCs w:val="30"/>
          <w:lang w:eastAsia="ru-RU"/>
        </w:rPr>
      </w:pPr>
      <w:r w:rsidRPr="00C843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настоящее время в состав Национальной сборной Республики Беларусь входят 13 воспитанников СДЮШОР Кричевского района: легкая атлетика – 3, борьба вольная – 5, футбол – 3, бокс -2.</w:t>
      </w:r>
    </w:p>
    <w:p w:rsidR="00EB3C91" w:rsidRPr="00C84326" w:rsidRDefault="00EB3C91" w:rsidP="00EB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843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мировых первенствах за период 2015-2019 годы воспитанники Кричевской СДЮШОР завоевали 18 медалей различного достоинства (золото - 7, серебро - 4, бронза - 7).</w:t>
      </w:r>
    </w:p>
    <w:p w:rsidR="00EB3C91" w:rsidRPr="00C84326" w:rsidRDefault="00EB3C91" w:rsidP="00EB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843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2019 г. на чемпионате Европы по вольной борьбе Станкевич Ксения заняла 3 место, на молодежном чемпионате Европы по вольной борьбе Сазыкина Кристина заняла 1 место (золотая медаль), на международном турнире по вольной борьбе на призы А. Медведя Станкевич Ксения заняла 3 место (бронзовая медаль), Павлюченко Василий 3 место (бронзовая медаль). Стельмахов Антон стал участником первенства Европы по боксу. </w:t>
      </w:r>
    </w:p>
    <w:p w:rsidR="00EB3C91" w:rsidRPr="00C84326" w:rsidRDefault="00EB3C91" w:rsidP="00EB3C91">
      <w:pPr>
        <w:pStyle w:val="a3"/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84326">
        <w:rPr>
          <w:rFonts w:ascii="Times New Roman" w:hAnsi="Times New Roman"/>
          <w:i/>
          <w:sz w:val="30"/>
          <w:szCs w:val="30"/>
        </w:rPr>
        <w:t>В 2015-2019 годах велась работа по совершенствованию материальной базы физкультурно-спортивной отрасли района.</w:t>
      </w:r>
    </w:p>
    <w:p w:rsidR="00EB3C91" w:rsidRPr="00C84326" w:rsidRDefault="00EB3C91" w:rsidP="00EB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843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Для удобства посетителей ФСУ «Кричевский ФОК» в 2019 г. установлен кассовый аппарат в пункте проката. Отремонтирована хоккейная коробка. Установлена система видеонаблюдения на стадионе «Сож-2002». Ведется работа по ремонту трибун на стадионе «Сож-2002». </w:t>
      </w:r>
    </w:p>
    <w:p w:rsidR="00EB3C91" w:rsidRPr="00C84326" w:rsidRDefault="00EB3C91" w:rsidP="00EB3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843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рассмотрение Министерства спорта и туризма внесено предложение для включения в Государственную программу развития физической культуры и спорта на 2021-2026 годы по капитальному ремонту с реконструкцией стадиона «Сож-2002» ФСУ «Кричевский ФОК» (модернизация футбольного газона; ремонт трибун, замена деревянных сидений на пластиковые; капитальный ремонт хоккейной </w:t>
      </w:r>
      <w:r w:rsidRPr="00C8432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коробки, площадью 1169 м.кв. и оборудование места для переодевания; укладка искусственного покрытия на беговую дорожку стадиона 419 м.) на сумму 1,5 млн. рублей.</w:t>
      </w:r>
    </w:p>
    <w:p w:rsidR="00EB3C91" w:rsidRPr="004B2FCB" w:rsidRDefault="00EB3C91" w:rsidP="00EB3C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Проведена значительная работа по укреплению материально-технической базы организаций сферы культуры.</w:t>
      </w:r>
    </w:p>
    <w:p w:rsidR="00EB3C91" w:rsidRPr="004B2FCB" w:rsidRDefault="00EB3C91" w:rsidP="00EB3C9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4B2FCB">
        <w:rPr>
          <w:rFonts w:ascii="Times New Roman" w:hAnsi="Times New Roman"/>
          <w:sz w:val="30"/>
          <w:szCs w:val="30"/>
        </w:rPr>
        <w:t xml:space="preserve">В 2016 году введено в эксплуатацию здание районного Дома культуры в г. Черикове. В 2017 году проведена реконструкция зданий районного Дома культуры и детской школы искусств г. Кличева. </w:t>
      </w:r>
      <w:r w:rsidRPr="004B2FCB">
        <w:rPr>
          <w:rFonts w:ascii="Times New Roman" w:hAnsi="Times New Roman"/>
          <w:sz w:val="30"/>
          <w:szCs w:val="30"/>
          <w:shd w:val="clear" w:color="auto" w:fill="FFFFFF"/>
        </w:rPr>
        <w:t xml:space="preserve">В 2018 году в г.Могилеве выполнены масштабные работы по капитальному ремонту здания Дворца культуры области в г.Могилеве, реконструирован музей В.К.Бялыницкого-Бирули, открыты 3 новых корпуса детских школ искусств. В 2019 году открыты и введены в эксплуатацию после реконструкции здание районного Дома культуры в г.Чаусы, Центр культуры и досуга в г.п.Глуске. </w:t>
      </w:r>
    </w:p>
    <w:p w:rsidR="00EB3C91" w:rsidRPr="004B2FCB" w:rsidRDefault="00EB3C91" w:rsidP="00EB3C9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За последние годы в городах Могилеве и Бобруйске построены </w:t>
      </w:r>
      <w:r w:rsidRPr="004B2FCB">
        <w:rPr>
          <w:rFonts w:ascii="Times New Roman" w:hAnsi="Times New Roman"/>
          <w:sz w:val="30"/>
          <w:szCs w:val="30"/>
        </w:rPr>
        <w:br/>
        <w:t>пять детских садов на 1055 мест. В 2019 году завершено строительство детского сада на 40 мест в аг. Добрейка Шкловского района, проведена реконструкция яслей-сада в аг. Восход Могилевского района.</w:t>
      </w:r>
    </w:p>
    <w:p w:rsidR="00EB3C91" w:rsidRPr="004B2FCB" w:rsidRDefault="00EB3C91" w:rsidP="00EB3C9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Введены в эксплуатацию четыре средние школы по 1020 мест в микрорайонах «Комсомольский» г.Кричева, «Западный» г.Бобруйска, «Спутник» и «Казимировка» г.Могилева. Осуществлено строительство пристройки к средней школе № 1 г.Славгорода с реконструкцией существующей. </w:t>
      </w:r>
    </w:p>
    <w:p w:rsidR="00EB3C91" w:rsidRPr="004B2FCB" w:rsidRDefault="00EB3C91" w:rsidP="00EB3C9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области принимаются меры по обеспечению доступности дошкольного образования. Возвращены в сеть дошкольного образования пять зданий и сооружений, эксплуатировавшихся не по назначению.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Всего за период с 2015 года 2019 год введено в эксплуатацию (реконструированы либо вновь построены) 25 крупных социально-значимых объектов различных сфер (здравоохранение, образование культура, спорт), финансирование которых осуществлялось за счет средств Инвестиционной программы Могилевской области, еще 9 объектов планируется ввести в эксплуатацию в 2020-2021годах.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 xml:space="preserve">В качестве ключевых задач социально-экономического развития Могилевской области на ближайшую пятилетку определены: 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поддержание внутренней сбалансированности экономики на основе соблюдения принципа повышения заработной платы в меру роста производительности труда;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обеспечение роста экспорта услуг темпами, опережающими экспорт товаров;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вовлечение малого и среднего бизнеса в сферу создания новых высокотехнологичных производств;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lastRenderedPageBreak/>
        <w:t>реструктуризация и финансовое оздоровление неплатежеспособных организаций;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рациональное размещение производительных сил в регионах, обеспечивающее сокращение межрегиональной дифференциации в уровне и качестве жизни населения, с учетом конкурентных преимуществ и накопленных территориальных компетенций;</w:t>
      </w:r>
    </w:p>
    <w:p w:rsidR="00EB3C91" w:rsidRPr="004B2FCB" w:rsidRDefault="00EB3C91" w:rsidP="00EB3C9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B2FCB">
        <w:rPr>
          <w:rFonts w:ascii="Times New Roman" w:hAnsi="Times New Roman"/>
          <w:sz w:val="30"/>
          <w:szCs w:val="30"/>
        </w:rPr>
        <w:t>развитие районов, отстающих по уровню социально-экономического развития, в том числе за счет модернизации существующих и создания новых предприятий и производств, стимулирования и поддержки предпринимательской активности местной инициативы.</w:t>
      </w:r>
    </w:p>
    <w:p w:rsidR="00EB3C91" w:rsidRDefault="00EB3C91" w:rsidP="00EB3C91">
      <w:pPr>
        <w:spacing w:after="0" w:line="240" w:lineRule="auto"/>
        <w:jc w:val="right"/>
        <w:rPr>
          <w:rFonts w:ascii="Times New Roman" w:hAnsi="Times New Roman"/>
          <w:sz w:val="30"/>
          <w:szCs w:val="30"/>
        </w:rPr>
      </w:pPr>
    </w:p>
    <w:p w:rsidR="00EB3C91" w:rsidRDefault="00EB3C91" w:rsidP="00EB3C91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9E65A8">
        <w:rPr>
          <w:rFonts w:ascii="Times New Roman" w:hAnsi="Times New Roman"/>
          <w:i/>
          <w:sz w:val="30"/>
          <w:szCs w:val="30"/>
        </w:rPr>
        <w:t xml:space="preserve">Материал подготовлен на основании информаций, </w:t>
      </w:r>
    </w:p>
    <w:p w:rsidR="00EB3C91" w:rsidRDefault="00EB3C91" w:rsidP="00EB3C91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9E65A8">
        <w:rPr>
          <w:rFonts w:ascii="Times New Roman" w:hAnsi="Times New Roman"/>
          <w:i/>
          <w:sz w:val="30"/>
          <w:szCs w:val="30"/>
        </w:rPr>
        <w:t>представленны</w:t>
      </w:r>
      <w:r>
        <w:rPr>
          <w:rFonts w:ascii="Times New Roman" w:hAnsi="Times New Roman"/>
          <w:i/>
          <w:sz w:val="30"/>
          <w:szCs w:val="30"/>
        </w:rPr>
        <w:t>х</w:t>
      </w:r>
      <w:r w:rsidRPr="009E65A8">
        <w:rPr>
          <w:rFonts w:ascii="Times New Roman" w:hAnsi="Times New Roman"/>
          <w:i/>
          <w:sz w:val="30"/>
          <w:szCs w:val="30"/>
        </w:rPr>
        <w:t xml:space="preserve"> структурными </w:t>
      </w:r>
    </w:p>
    <w:p w:rsidR="00EB3C91" w:rsidRDefault="00EB3C91" w:rsidP="00EB3C91">
      <w:pPr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9E65A8">
        <w:rPr>
          <w:rFonts w:ascii="Times New Roman" w:hAnsi="Times New Roman"/>
          <w:i/>
          <w:sz w:val="30"/>
          <w:szCs w:val="30"/>
        </w:rPr>
        <w:t>подразделениями облисполком</w:t>
      </w:r>
      <w:r>
        <w:rPr>
          <w:rFonts w:ascii="Times New Roman" w:hAnsi="Times New Roman"/>
          <w:i/>
          <w:sz w:val="30"/>
          <w:szCs w:val="30"/>
        </w:rPr>
        <w:t>, райисполком</w:t>
      </w:r>
      <w:r w:rsidRPr="009E65A8">
        <w:rPr>
          <w:rFonts w:ascii="Times New Roman" w:hAnsi="Times New Roman"/>
          <w:i/>
          <w:sz w:val="30"/>
          <w:szCs w:val="30"/>
        </w:rPr>
        <w:t>а</w:t>
      </w:r>
    </w:p>
    <w:p w:rsidR="00F40105" w:rsidRDefault="00F40105"/>
    <w:sectPr w:rsidR="00F40105" w:rsidSect="00F4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EB3C91"/>
    <w:rsid w:val="00EB3C91"/>
    <w:rsid w:val="00F4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3C91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3C91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EB3C91"/>
    <w:rPr>
      <w:sz w:val="28"/>
      <w:szCs w:val="28"/>
      <w:shd w:val="clear" w:color="auto" w:fill="FFFFFF"/>
    </w:rPr>
  </w:style>
  <w:style w:type="character" w:customStyle="1" w:styleId="145pt">
    <w:name w:val="Основной текст + 14;5 pt;Курсив"/>
    <w:basedOn w:val="a5"/>
    <w:rsid w:val="00EB3C91"/>
    <w:rPr>
      <w:i/>
      <w:iCs/>
      <w:sz w:val="29"/>
      <w:szCs w:val="29"/>
    </w:rPr>
  </w:style>
  <w:style w:type="character" w:customStyle="1" w:styleId="4">
    <w:name w:val="Основной текст (4)_"/>
    <w:basedOn w:val="a0"/>
    <w:link w:val="40"/>
    <w:rsid w:val="00EB3C91"/>
    <w:rPr>
      <w:sz w:val="29"/>
      <w:szCs w:val="29"/>
      <w:shd w:val="clear" w:color="auto" w:fill="FFFFFF"/>
    </w:rPr>
  </w:style>
  <w:style w:type="character" w:customStyle="1" w:styleId="414pt">
    <w:name w:val="Основной текст (4) + 14 pt;Не курсив"/>
    <w:basedOn w:val="4"/>
    <w:rsid w:val="00EB3C91"/>
    <w:rPr>
      <w:i/>
      <w:iCs/>
      <w:sz w:val="28"/>
      <w:szCs w:val="28"/>
    </w:rPr>
  </w:style>
  <w:style w:type="paragraph" w:customStyle="1" w:styleId="1">
    <w:name w:val="Основной текст1"/>
    <w:basedOn w:val="a"/>
    <w:link w:val="a5"/>
    <w:rsid w:val="00EB3C91"/>
    <w:pPr>
      <w:shd w:val="clear" w:color="auto" w:fill="FFFFFF"/>
      <w:spacing w:after="0" w:line="0" w:lineRule="atLeast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EB3C91"/>
    <w:pPr>
      <w:shd w:val="clear" w:color="auto" w:fill="FFFFFF"/>
      <w:spacing w:after="0" w:line="341" w:lineRule="exact"/>
      <w:jc w:val="both"/>
    </w:pPr>
    <w:rPr>
      <w:sz w:val="29"/>
      <w:szCs w:val="29"/>
    </w:rPr>
  </w:style>
  <w:style w:type="paragraph" w:customStyle="1" w:styleId="Style4">
    <w:name w:val="Style4"/>
    <w:basedOn w:val="a"/>
    <w:rsid w:val="00EB3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B3C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5204</Words>
  <Characters>29669</Characters>
  <Application>Microsoft Office Word</Application>
  <DocSecurity>0</DocSecurity>
  <Lines>247</Lines>
  <Paragraphs>69</Paragraphs>
  <ScaleCrop>false</ScaleCrop>
  <Company/>
  <LinksUpToDate>false</LinksUpToDate>
  <CharactersWithSpaces>34804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2020-07-15T05:20:00Z</dcterms:created>
  <dcterms:modified xsi:type="dcterms:W3CDTF">2020-07-15T05:20:00Z</dcterms:modified>
</cp:coreProperties>
</file>