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8E" w:rsidRPr="00EC4143" w:rsidRDefault="00637D8E" w:rsidP="00637D8E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EC4143">
        <w:rPr>
          <w:rFonts w:ascii="Times New Roman" w:hAnsi="Times New Roman"/>
          <w:b/>
          <w:bCs/>
          <w:sz w:val="30"/>
          <w:szCs w:val="30"/>
        </w:rPr>
        <w:t>ПРОИЗВОДСТВЕННЫЙ ТРАВМАТИЗМ И ОХРАНА ТРУДА</w:t>
      </w:r>
    </w:p>
    <w:p w:rsidR="00637D8E" w:rsidRPr="00973D7E" w:rsidRDefault="00637D8E" w:rsidP="00637D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7D8E" w:rsidRPr="005B4EE3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>По оперативным данным в январе-марте 2022 года в организациях Могилевской области зарегистрировано 42 несчастных случая на производстве, в том числе 8 со смертельным исходом.</w:t>
      </w:r>
    </w:p>
    <w:p w:rsidR="00637D8E" w:rsidRPr="005B4EE3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>3 работника погибли в организациях агропромышленного комплекса. В результате дорожно-транспортных происшествий пострадало 4 работника, в том числе 3 погибли под колесами транспортных средств на территории организаций и 1 получил тяжелые травмы. В числе пострадавших работники организаций строительной отрасли и жилищно-коммунального хозяйства области.</w:t>
      </w:r>
    </w:p>
    <w:p w:rsidR="00637D8E" w:rsidRPr="005B4EE3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 xml:space="preserve">В результате падения при передвижении пострадало 9 работников. В целях предупреждения таких случаев в марте проведена областная акция «Охрана труда – главная составляющая культуры производства». </w:t>
      </w:r>
    </w:p>
    <w:p w:rsidR="00637D8E" w:rsidRPr="005B4EE3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>При выполнении строительно-монтажных и ремонтно-строительных работ погибло 2 работника и 2 получили тяжелые травмы, при проведении шиномонтажных работ 1 работник погиб и 3 тяжело травмированы. В первом квартале 2022 года подготовлены информационные письма «О производстве ремонтно-строительных работ» и «О безопасном производстве шиномонтажных работ», которые в дальнейшем должны быть доведены до сведения организаций и всех работников, привлекаемых к таким работам.</w:t>
      </w:r>
    </w:p>
    <w:p w:rsidR="00637D8E" w:rsidRPr="005B4EE3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5B4EE3">
        <w:rPr>
          <w:rFonts w:ascii="Times New Roman" w:hAnsi="Times New Roman"/>
          <w:bCs/>
          <w:sz w:val="30"/>
          <w:szCs w:val="30"/>
        </w:rPr>
        <w:t>В январе-марте 2022 года тяжелые травмы получили 2 работника, выполнявшие лесосечные работы, и 2, выполнявшие работы по деревообработке. В этой связи в мае 2022 года запланировано проведение 3 практических семинаров на базе ГЛХУ «Белыничский лесхоз», ГОЛХУ «Осиповичский опытный лесхоз» и ГЛХУ «Краснопольский лесхоз» с руководителями и специалистами организаций, занятых лесосечными работами и работами по деревообработке.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Анализ причин производственного травматизма в январе-марте 2022 года, проведенный на основании завершенных расследований и специальных расследований,  показал, что рост производственного травматизма обусловлен прежде всего низкой трудовой и производственной дисциплиной самих потерпевших, других работников и их личной неосторожностью. Суммарно по этим причинам произошло 71,4 % несчастных случаев. Невыполнение руководителями и специалистами обязанностей, в том числе в части неудовлетворительного содержания территорий организаций и необеспечение потерпевшего средствами индивидуальной защиты, явилось причиной 14,2 % несчастных случаев, 14,4 % случаев  обусловлены иными причинами.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lastRenderedPageBreak/>
        <w:t>В целях профилактики производственного травматизма в области реализуются План мероприятий на 2022 год по реализации в Могилевской области положений Директивы Президента Республики Беларусь от 11.03.2004 № 1 «О мерах по укреплению общественной безопасности и дисциплины», утвержденный решением Могилевского областного исполнительного комитета от 08.12.2021 № 5-241, и Комплекс мер по предупреждению гибели и травмирования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 на 2022 год,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27.12.2021 № 7.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 xml:space="preserve">Необходимо отметить, что новым подходом к организации профилактики, объединяющим три направления – безопасность, гигиену труда и благополучие работников на всех уровнях производства в настоящее время является концепция нулевого травматизма. 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В целях развития культуры безопасности и гигиены труда, в соответствии с концепцией нулевого травматизма, разработан практический инструмент управления, соблюдение которого может позволить снизить производственный травматизм до минимума.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Семь «золотых правил» концепции: стать лидером – показать приверженность принципам; выявлять угрозы – контролировать риски; определять цели – разрабатывать программы; создать систему безопасности и гигиены труда – достичь высокого уровня организации; обеспечивать безопасность и гигиену труда на рабочих местах при работе со станками и оборудованием; повышать квалификацию – развивать профессиональные навыки; инвестировать в кадры – мотивировать посредством участия.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Кроме того, созданию в каждой организации здоровых и безопасных условий труда будет способствовать следующее.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1. Выделение нанимателями необходимых финансовых средств на реализацию мероприятий по охране труда.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2. Надлежащее исполнение специалистами по охране труда своих должностных обязанностей.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 xml:space="preserve">3. Создание на паритетной основе с профсоюзами комиссий по охране труда, которые осуществляют проведение проверок на рабочих местах и информирование работников об их результатах, а также принимают участие в разработке систем управления охраной труда, коллективных договоров. 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 xml:space="preserve">4. Проведение контроля за соблюдением законодательства об охране труда, в том числе Дней охраны труда, руководителями </w:t>
      </w:r>
      <w:r w:rsidRPr="001A53AE">
        <w:rPr>
          <w:rFonts w:ascii="Times New Roman" w:hAnsi="Times New Roman"/>
          <w:bCs/>
          <w:sz w:val="30"/>
          <w:szCs w:val="30"/>
        </w:rPr>
        <w:lastRenderedPageBreak/>
        <w:t>организаций  и структурных подразделений с участием представителей профсоюзов, общественных инспекторов по охране труда, специалистов по охране труда.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5. Персональный учет нарушений требований охраны труда с принятием управленческих решений, направленных на исключение в будущем выявленных нарушений, привлечение к предусмотренной законодательством, локальными нормативными правовыми актами ответственности нарушителей.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6. Анализ эффективности функционирования систем управления охраной труда и их корректировка.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7. Создание условий для реального участия работников в управлении охраной труда, а также механизмов мотивации работника сотрудничать и взаимодействовать с нанимателем по вопросам охраны труда.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8. Обеспечение системного контроля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освидетельствования и (или) медицинских осмотров на предмет нахождения в состоянии алкогольного опьянения.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9. Исключение случаев допуска работников к работе на оборудовании, имеющем неисправности, либо при отсутствии его испытаний, осмотров, технических освидетельствований.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10. Эксплуатация производственных зданий и сооружений в соответствии с требованиями технических нормативных правовых актов.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11. Обеспечение работников средствами индивидуальной защиты в соответствии с установленными нормами.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1A53AE">
        <w:rPr>
          <w:rFonts w:ascii="Times New Roman" w:hAnsi="Times New Roman"/>
          <w:bCs/>
          <w:sz w:val="30"/>
          <w:szCs w:val="30"/>
        </w:rPr>
        <w:t>12. Организация и проведение с работающими обучения, стажировки, инструктажа и проверки знаний по вопросам охраны труда, а также обязательных медицинских осмотров и освидетельствований.</w:t>
      </w:r>
    </w:p>
    <w:p w:rsidR="00637D8E" w:rsidRPr="001A53AE" w:rsidRDefault="00637D8E" w:rsidP="00637D8E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:rsidR="00637D8E" w:rsidRPr="00973D7E" w:rsidRDefault="00637D8E" w:rsidP="00637D8E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  <w:r w:rsidRPr="00973D7E">
        <w:rPr>
          <w:rFonts w:ascii="Times New Roman" w:hAnsi="Times New Roman"/>
          <w:i/>
          <w:iCs/>
          <w:sz w:val="28"/>
          <w:szCs w:val="28"/>
        </w:rPr>
        <w:t>Материалы подготовлены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5B4EE3">
        <w:rPr>
          <w:rFonts w:ascii="Times New Roman" w:hAnsi="Times New Roman"/>
          <w:i/>
          <w:iCs/>
          <w:sz w:val="28"/>
          <w:szCs w:val="28"/>
        </w:rPr>
        <w:t>Могилевск</w:t>
      </w:r>
      <w:r>
        <w:rPr>
          <w:rFonts w:ascii="Times New Roman" w:hAnsi="Times New Roman"/>
          <w:i/>
          <w:iCs/>
          <w:sz w:val="28"/>
          <w:szCs w:val="28"/>
        </w:rPr>
        <w:t>им</w:t>
      </w:r>
      <w:r w:rsidRPr="005B4EE3">
        <w:rPr>
          <w:rFonts w:ascii="Times New Roman" w:hAnsi="Times New Roman"/>
          <w:i/>
          <w:iCs/>
          <w:sz w:val="28"/>
          <w:szCs w:val="28"/>
        </w:rPr>
        <w:t xml:space="preserve"> областн</w:t>
      </w:r>
      <w:r>
        <w:rPr>
          <w:rFonts w:ascii="Times New Roman" w:hAnsi="Times New Roman"/>
          <w:i/>
          <w:iCs/>
          <w:sz w:val="28"/>
          <w:szCs w:val="28"/>
        </w:rPr>
        <w:t>ым</w:t>
      </w:r>
      <w:r w:rsidRPr="005B4EE3">
        <w:rPr>
          <w:rFonts w:ascii="Times New Roman" w:hAnsi="Times New Roman"/>
          <w:i/>
          <w:iCs/>
          <w:sz w:val="28"/>
          <w:szCs w:val="28"/>
        </w:rPr>
        <w:t xml:space="preserve"> управление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 w:rsidRPr="005B4EE3">
        <w:rPr>
          <w:rFonts w:ascii="Times New Roman" w:hAnsi="Times New Roman"/>
          <w:i/>
          <w:iCs/>
          <w:sz w:val="28"/>
          <w:szCs w:val="28"/>
        </w:rPr>
        <w:t xml:space="preserve"> Департамента государственной инспекции труда Министерства труда и социальной защиты Республики Беларусь</w:t>
      </w:r>
    </w:p>
    <w:p w:rsidR="00637D8E" w:rsidRPr="00973D7E" w:rsidRDefault="00637D8E" w:rsidP="00637D8E">
      <w:pPr>
        <w:spacing w:after="0" w:line="240" w:lineRule="auto"/>
        <w:ind w:firstLine="708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F4076B" w:rsidRDefault="00F4076B"/>
    <w:sectPr w:rsidR="00F4076B" w:rsidSect="00F4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637D8E"/>
    <w:rsid w:val="00637D8E"/>
    <w:rsid w:val="00F4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2022-04-19T06:14:00Z</dcterms:created>
  <dcterms:modified xsi:type="dcterms:W3CDTF">2022-04-19T06:14:00Z</dcterms:modified>
</cp:coreProperties>
</file>