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29" w:rsidRPr="000C20ED" w:rsidRDefault="003C1329" w:rsidP="003C1329">
      <w:pPr>
        <w:pageBreakBefore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0C20ED">
        <w:rPr>
          <w:rFonts w:ascii="Times New Roman" w:hAnsi="Times New Roman"/>
          <w:b/>
          <w:sz w:val="30"/>
          <w:szCs w:val="30"/>
        </w:rPr>
        <w:t>ИНФОРМАЦИЯ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0C20ED">
        <w:rPr>
          <w:rFonts w:ascii="Times New Roman" w:hAnsi="Times New Roman"/>
          <w:b/>
          <w:sz w:val="30"/>
          <w:szCs w:val="30"/>
        </w:rPr>
        <w:t>О СТРАТЕГИИ УСТО</w:t>
      </w:r>
      <w:r>
        <w:rPr>
          <w:rFonts w:ascii="Times New Roman" w:hAnsi="Times New Roman"/>
          <w:b/>
          <w:sz w:val="30"/>
          <w:szCs w:val="30"/>
        </w:rPr>
        <w:t>Й</w:t>
      </w:r>
      <w:r w:rsidRPr="000C20ED">
        <w:rPr>
          <w:rFonts w:ascii="Times New Roman" w:hAnsi="Times New Roman"/>
          <w:b/>
          <w:sz w:val="30"/>
          <w:szCs w:val="30"/>
        </w:rPr>
        <w:t>ЧИВОГО РАЗВИТИЯ МОГИЛЕВСКОЙ ОБЛАСТИНА ПЕРИОД ДО 2035 ГОДА И ЦЕЛЯХ УСТОЙЧИВОГО РАЗВИТИЯ</w:t>
      </w:r>
    </w:p>
    <w:p w:rsidR="003C1329" w:rsidRPr="000C20ED" w:rsidRDefault="003C1329" w:rsidP="003C1329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>Каждый из нас в своей жизни задумывается: как поступать правильно? Чему надо научить детей? Что мы оставим нашим потомкам после себя? 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>Эти вопросы одинаковы для любого человека: в Республике Беларусь и Китае, в странах Африки и государствах Балтийского региона. 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 xml:space="preserve">В ходе  Саммита ООН, прошедшего 25 сентября 2015 г., была принята резолюция Генеральной Ассамблеи ООН № 70/1 «Преобразование нашего мира: Повестка дня в области устойчивого развития на период до 2030 года» (далее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 xml:space="preserve"> Повестка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>2030), которая включает в себя список из 17 Целей устойчивого развития, направленных на ликвидацию бедности, борьбу с неравенством и несправедливостью, решение проблем, связанных с климатическими изменениями.</w:t>
      </w:r>
    </w:p>
    <w:p w:rsidR="003C1329" w:rsidRPr="000C20ED" w:rsidRDefault="003C1329" w:rsidP="003C13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C1329" w:rsidRPr="000C20ED" w:rsidRDefault="003C1329" w:rsidP="003C13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17 Целей Устойчивого Развития – это: </w:t>
      </w:r>
    </w:p>
    <w:p w:rsidR="003C1329" w:rsidRPr="000C20ED" w:rsidRDefault="003C1329" w:rsidP="003C132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212090</wp:posOffset>
            </wp:positionV>
            <wp:extent cx="790575" cy="791210"/>
            <wp:effectExtent l="0" t="0" r="9525" b="8890"/>
            <wp:wrapSquare wrapText="bothSides"/>
            <wp:docPr id="1" name="Рисунок 1" descr="https://www.belstat.gov.by/upload-belstat/upload-belstat-image/SDG/1_no_pover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lstat.gov.by/upload-belstat/upload-belstat-image/SDG/1_no_povert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1329" w:rsidRPr="000C20ED" w:rsidRDefault="003C1329" w:rsidP="003C13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ЦУР 1 ЛИКВИДАЦИЯ НИЩЕТЫ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направлена на предотвращение риска бедности и социальной изоляции, на повышение качества, условий и уровня жизни населения. Достижение этой цели основывается на обеспечении устойчивого роста доходов населения, социальных гарантий для наиболее уязвимых граждан, доступности первоочередных товаров и услуг, обеспечении населения доступным и комфортным жильем.</w:t>
      </w:r>
    </w:p>
    <w:p w:rsidR="003C1329" w:rsidRPr="000C20ED" w:rsidRDefault="003C1329" w:rsidP="003C13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212725</wp:posOffset>
            </wp:positionV>
            <wp:extent cx="790575" cy="791845"/>
            <wp:effectExtent l="0" t="0" r="9525" b="8255"/>
            <wp:wrapSquare wrapText="bothSides"/>
            <wp:docPr id="2" name="Рисунок 2" descr="https://www.belstat.gov.by/upload-belstat/upload-belstat-image/SDG/2_zero_hun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elstat.gov.by/upload-belstat/upload-belstat-image/SDG/2_zero_hung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1329" w:rsidRPr="000C20ED" w:rsidRDefault="003C1329" w:rsidP="003C13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ЦУР 2 ЛИКВИДАЦИЯ ГОЛОДА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нацелена на обеспечение продовольственной безопасности, повышение качества питания населения и содействие устойчивому развитию сельского хозяйства при бережном отношении к окружающей среде. Беларусь – государство с благоприятными условиями для поддержания высокого уровня продовольственной безопасности, обеспечения полноценного питания и здорового образа жизни населения. Насыщение внутреннего рынка продовольственных товаров на 80% обеспечивается товарами собственного производства. Особое внимание для достижения ЦУР 2 уделяется сохранению генетических ресурсов для производства продовольствия и ведения сельского хозяйства.</w:t>
      </w:r>
    </w:p>
    <w:p w:rsidR="003C1329" w:rsidRPr="000C20ED" w:rsidRDefault="003C1329" w:rsidP="003C13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C1329" w:rsidRPr="000C20ED" w:rsidRDefault="003C1329" w:rsidP="003C132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12700</wp:posOffset>
            </wp:positionV>
            <wp:extent cx="817245" cy="819150"/>
            <wp:effectExtent l="0" t="0" r="1905" b="0"/>
            <wp:wrapSquare wrapText="bothSides"/>
            <wp:docPr id="3" name="Рисунок 3" descr="https://www.belstat.gov.by/upload-belstat/upload-belstat-image/SDG/3_good_health_and_well_be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elstat.gov.by/upload-belstat/upload-belstat-image/SDG/3_good_health_and_well_bei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3 ХОРОШЕЕ ЗДОРОВЬЕ И БЛАГОПОЛУЧИЕ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направлена на улучшение здоровья населения с охватом всех этапов жизни, охрану материнства и детства, предотвращение эпидемии основных инфекционных заболеваний, снижение уровня заболеваемости неинфекционными заболеваниями, обеспечение широкой информированности населения о факторах риска, угрожающих здоровью (курение, злоупотребление алкоголем, нездоровое питание, недостаток физической активности), стимулирование здорового образа жизни, формирование у населения самосохранительного поведения. Первоочередными задачами являются повышение качества и доступности услуг системы здравоохранения, формирование системы профилактики заболеваний, внедрение новых технологий в области репродуктивного здоровья, доступность безопасных и эффективных лекарственных средств и вакцин. Их решение обеспечит продолжительную и здоровую жизнь граждан, качественное развитие человеческого потенциала страны.</w:t>
      </w:r>
    </w:p>
    <w:p w:rsidR="003C1329" w:rsidRPr="000C20ED" w:rsidRDefault="003C1329" w:rsidP="003C13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218440</wp:posOffset>
            </wp:positionV>
            <wp:extent cx="771525" cy="772160"/>
            <wp:effectExtent l="0" t="0" r="9525" b="8890"/>
            <wp:wrapSquare wrapText="bothSides"/>
            <wp:docPr id="4" name="Рисунок 4" descr="https://www.belstat.gov.by/upload-belstat/upload-belstat-image/SDG/4_quality_edu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elstat.gov.by/upload-belstat/upload-belstat-image/SDG/4_quality_educa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1329" w:rsidRPr="000C20ED" w:rsidRDefault="003C1329" w:rsidP="003C132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ЦУР 4 КАЧЕСТВЕННОЕ ОБРАЗОВАНИЕ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направлена на повышение доступности и качества образования в соответствии с потребностями инновационной экономики и требованиями информационного общества, развитие системы непрерывного образования, повышение квалификации учителей. Беларусь относится к числу стран с высоким уровнем образования населения. Достигнут полный охват детей пятилетнего возраста подготовкой к школе, отмечается высокий индекс детского развития в раннем возрасте. Начальное и базовое образование являются обязательными, детям предоставляются равные возможности его получения. Улучшению образовательного процесса способствует высокий уровень оснащенности компьютерами в учебных целях с доступом к сети Интернет. Созданная инфраструктура в полной мере обеспечивает учреждения образования электричеством, питьевой водой и отвечает требованиям санитарно-технических норм.</w:t>
      </w:r>
    </w:p>
    <w:p w:rsidR="003C1329" w:rsidRPr="000C20ED" w:rsidRDefault="003C1329" w:rsidP="003C13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C1329" w:rsidRPr="000C20ED" w:rsidRDefault="003C1329" w:rsidP="003C13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38100</wp:posOffset>
            </wp:positionV>
            <wp:extent cx="771525" cy="773430"/>
            <wp:effectExtent l="0" t="0" r="9525" b="7620"/>
            <wp:wrapSquare wrapText="bothSides"/>
            <wp:docPr id="5" name="Рисунок 5" descr="https://www.belstat.gov.by/upload-belstat/upload-belstat-image/SDG/5_gender_equa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belstat.gov.by/upload-belstat/upload-belstat-image/SDG/5_gender_equalit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5 ГЕНДЕРНОЕ РАВЕНСТВО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охватывает проблемы гендерного неравенства, лишающего женщин и девочек их основных прав и возможностей и без решения которых невозможно существование благополучного общества. Для реализации этой цели необходимо обеспечить равенство среди женщин и мужчин, в том числе в получении образования, трудоустройстве, преодолении любых видов дискриминации. Гендерному равенству также способствуют расширение участия женщин в принятии решений, </w:t>
      </w:r>
      <w:r w:rsidRPr="000C20ED">
        <w:rPr>
          <w:rFonts w:ascii="Times New Roman" w:hAnsi="Times New Roman"/>
          <w:sz w:val="30"/>
          <w:szCs w:val="30"/>
        </w:rPr>
        <w:lastRenderedPageBreak/>
        <w:t>реализация их лидерского потенциала, снижение разрыва в соотношении доходов женщин с доходами мужчин.</w:t>
      </w:r>
    </w:p>
    <w:p w:rsidR="003C1329" w:rsidRPr="000C20ED" w:rsidRDefault="003C1329" w:rsidP="003C13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C1329" w:rsidRPr="000C20ED" w:rsidRDefault="003C1329" w:rsidP="003C13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9525</wp:posOffset>
            </wp:positionV>
            <wp:extent cx="771525" cy="772795"/>
            <wp:effectExtent l="0" t="0" r="9525" b="8255"/>
            <wp:wrapSquare wrapText="bothSides"/>
            <wp:docPr id="6" name="Рисунок 6" descr="https://www.belstat.gov.by/upload-belstat/upload-belstat-image/SDG/6_clean_water_sanit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belstat.gov.by/upload-belstat/upload-belstat-image/SDG/6_clean_water_sanitati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6 ЧИСТАЯ ВОДА И САНИТАРИЯ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призывает к решению проблем, связанных с доступом к питьевой воде и санитарии, а также к защите водных экосистем. В части водной политики приоритетными направлениями для Республики Беларусь являются надежное водоснабжение населения водой нормативного качества, эффективное водообеспечение отраслей экономики, безопасное отведение сточных вод, обеспечение хорошего экологического состояния водных объектов и другое.</w:t>
      </w:r>
    </w:p>
    <w:p w:rsidR="003C1329" w:rsidRPr="000C20ED" w:rsidRDefault="003C1329" w:rsidP="003C13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C1329" w:rsidRPr="000C20ED" w:rsidRDefault="003C1329" w:rsidP="003C132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18415</wp:posOffset>
            </wp:positionV>
            <wp:extent cx="781050" cy="782320"/>
            <wp:effectExtent l="0" t="0" r="0" b="0"/>
            <wp:wrapSquare wrapText="bothSides"/>
            <wp:docPr id="7" name="Рисунок 7" descr="https://www.belstat.gov.by/upload-belstat/upload-belstat-image/SDG/7_affordable_clean_ener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belstat.gov.by/upload-belstat/upload-belstat-image/SDG/7_affordable_clean_energ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7 НЕДОРОГОСТОЯЩАЯ ЧИСТАЯ ЭНЕРГИЯ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направлена на укрепление энергетической безопасности, в том числе обеспечение доступности и надежности электроснабжения для потребителей, снижение энергоемкости ВВП, максимально возможное вовлечение в топливный баланс возобновляемых источников энергии, сдерживание роста валового потребления топливно-энергетических ресурсов. В Республике Беларусь доля населения, имеющего доступ к электроэнергии, составляет 100 %. Это объясняется отсутствием дефицита установленной мощности энергоисточников, наличием развитой системы электрических сетей, а также доступной стоимостью электроэнергии.</w:t>
      </w:r>
    </w:p>
    <w:p w:rsidR="003C1329" w:rsidRPr="000C20ED" w:rsidRDefault="003C1329" w:rsidP="003C13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C1329" w:rsidRPr="000C20ED" w:rsidRDefault="003C1329" w:rsidP="003C13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781050" cy="782955"/>
            <wp:effectExtent l="0" t="0" r="0" b="0"/>
            <wp:wrapSquare wrapText="bothSides"/>
            <wp:docPr id="8" name="Рисунок 8" descr="https://www.belstat.gov.by/upload-belstat/upload-belstat-image/SDG/8_decent_work_economic_grow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belstat.gov.by/upload-belstat/upload-belstat-image/SDG/8_decent_work_economic_growth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8 ДОСТОЙНАЯ РАБОТА И ЭКОНОМИЧЕСКИЙ </w:t>
      </w:r>
      <w:r>
        <w:rPr>
          <w:rFonts w:ascii="Times New Roman" w:hAnsi="Times New Roman"/>
          <w:sz w:val="30"/>
          <w:szCs w:val="30"/>
        </w:rPr>
        <w:t xml:space="preserve">            </w:t>
      </w:r>
      <w:r w:rsidRPr="000C20ED">
        <w:rPr>
          <w:rFonts w:ascii="Times New Roman" w:hAnsi="Times New Roman"/>
          <w:sz w:val="30"/>
          <w:szCs w:val="30"/>
        </w:rPr>
        <w:t xml:space="preserve">РОСТ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способствует устойчивому экономическому росту, эффективной занятости, созданию высокопроизводительных рабочих мест и, в результате, росту доходов и благосостояния населения. Обеспечение достойной занятости затрагивает все категории населения страны, в том числе молодежь, женщин, лиц с ограниченными возможностями. Эффективность работы экономики обеспечивается высоким уровнем квалификации работников, что является важным конкурентным преимуществом страны. Важная составляющая достойной работы – обеспечение безопасных и надежных условий труда, которые определяются через снижение уровня производственного травматизма.</w:t>
      </w:r>
    </w:p>
    <w:p w:rsidR="003C1329" w:rsidRPr="000C20ED" w:rsidRDefault="003C1329" w:rsidP="003C13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180340</wp:posOffset>
            </wp:positionV>
            <wp:extent cx="807720" cy="809625"/>
            <wp:effectExtent l="0" t="0" r="0" b="9525"/>
            <wp:wrapSquare wrapText="bothSides"/>
            <wp:docPr id="9" name="Рисунок 9" descr="https://www.belstat.gov.by/upload-belstat/upload-belstat-image/SDG/9_industry_innovation_infrastru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belstat.gov.by/upload-belstat/upload-belstat-image/SDG/9_industry_innovation_infrastructur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1329" w:rsidRPr="000C20ED" w:rsidRDefault="003C1329" w:rsidP="003C132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ЦУР 9 ИНДУСТРИАЛИЗАЦИЯ, ИННОВАЦИЯ И ИНФРАСТРУКТУРА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направлена на развитие малых организаций, инновационной деятельности, экологизацию производства, активизацию научных исследований и </w:t>
      </w:r>
      <w:r w:rsidRPr="000C20ED">
        <w:rPr>
          <w:rFonts w:ascii="Times New Roman" w:hAnsi="Times New Roman"/>
          <w:sz w:val="30"/>
          <w:szCs w:val="30"/>
        </w:rPr>
        <w:lastRenderedPageBreak/>
        <w:t xml:space="preserve">наращивание технологического потенциала промышленных секторов экономики, укрепление организационного и кадрового потенциала научной сферы. Индустриальное развитие является одним из основных направлений белорусской экономики. Развитие промышленности в значительной степени определяет основные экономические тенденции в нашей стране. Модернизация промышленности неразрывно связана с внедрением инноваций в производственные процессы, развитием высокотехнологичных отраслей промышленности, расширением возможностей малого бизнеса и экологизацией производств. Благодаря развитию информационно-коммуникационных технологий создаются условия для перехода к цифровой экономике. </w:t>
      </w:r>
    </w:p>
    <w:p w:rsidR="003C1329" w:rsidRPr="000C20ED" w:rsidRDefault="003C1329" w:rsidP="003C13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C1329" w:rsidRPr="000C20ED" w:rsidRDefault="003C1329" w:rsidP="003C132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8890</wp:posOffset>
            </wp:positionV>
            <wp:extent cx="790575" cy="792480"/>
            <wp:effectExtent l="0" t="0" r="9525" b="7620"/>
            <wp:wrapSquare wrapText="bothSides"/>
            <wp:docPr id="10" name="Рисунок 10" descr="https://www.belstat.gov.by/upload-belstat/upload-belstat-image/SDG/10_reduced_inaquli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belstat.gov.by/upload-belstat/upload-belstat-image/SDG/10_reduced_inaquliti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10 УМЕНЬШЕНИЕ НЕРАВЕНСТВА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стремится к сокращению неравенства по доходам, полу, возрасту, признаку инвалидности, социальному происхождению, месту проживания и другим признакам. Для реализации этой цели важным является развитие системы социальной защиты наиболее уязвимых групп населения.</w:t>
      </w:r>
    </w:p>
    <w:p w:rsidR="003C1329" w:rsidRPr="000C20ED" w:rsidRDefault="003C1329" w:rsidP="003C13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C1329" w:rsidRPr="000C20ED" w:rsidRDefault="003C1329" w:rsidP="003C13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-635</wp:posOffset>
            </wp:positionV>
            <wp:extent cx="819150" cy="821690"/>
            <wp:effectExtent l="0" t="0" r="0" b="0"/>
            <wp:wrapSquare wrapText="bothSides"/>
            <wp:docPr id="11" name="Рисунок 11" descr="https://www.belstat.gov.by/upload-belstat/upload-belstat-image/SDG/11_sustainable_cities_communit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belstat.gov.by/upload-belstat/upload-belstat-image/SDG/11_sustainable_cities_communitie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11 УСТОЙЧИВЫЕ ГОРОДА И НАСЕЛЕННЫЕ ПУНКТЫ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нацелена на развитие городов с доступом к основным услугам, адекватным энергоснабжением, жильем и транспортом. Государственная политика Беларуси предусматривает формирование комфортной для людей среды проживания в городах и сельской местности, включая внедрение новых форм организации социального и транспортного обслуживания жителей, реализацию концепции «умных» городов, обеспечение высокого качества и надежности жилищно-коммунальных услуг, безопасной среды для детей и подростков, доступной среды для лиц с ограниченными возможностями.</w:t>
      </w:r>
    </w:p>
    <w:p w:rsidR="003C1329" w:rsidRPr="000C20ED" w:rsidRDefault="003C1329" w:rsidP="003C13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C1329" w:rsidRPr="000C20ED" w:rsidRDefault="003C1329" w:rsidP="003C132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123190</wp:posOffset>
            </wp:positionV>
            <wp:extent cx="771525" cy="772160"/>
            <wp:effectExtent l="0" t="0" r="9525" b="8890"/>
            <wp:wrapSquare wrapText="bothSides"/>
            <wp:docPr id="12" name="Рисунок 12" descr="https://www.belstat.gov.by/upload-belstat/upload-belstat-image/SDG/12_responsible_consumption_produ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belstat.gov.by/upload-belstat/upload-belstat-image/SDG/12_responsible_consumption_productio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12 ОТВЕТСТВЕННОЕ ПОТРЕБЛЕНИЕ И ПРОИЗВОДСТВО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предусматривает развитие рационального использования природно-ресурсного потенциала и эффективного обращения с отходами. В Беларуси обеспечивается переход к рациональным моделям потребления и производства, внедряется система «зеленых» государственных закупок, вторичная переработка отходов.</w:t>
      </w:r>
    </w:p>
    <w:p w:rsidR="003C1329" w:rsidRPr="000C20ED" w:rsidRDefault="003C1329" w:rsidP="003C13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C1329" w:rsidRPr="000C20ED" w:rsidRDefault="003C1329" w:rsidP="003C132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19050</wp:posOffset>
            </wp:positionV>
            <wp:extent cx="781050" cy="782320"/>
            <wp:effectExtent l="0" t="0" r="0" b="0"/>
            <wp:wrapSquare wrapText="bothSides"/>
            <wp:docPr id="13" name="Рисунок 13" descr="https://www.belstat.gov.by/upload-belstat/upload-belstat-image/SDG/13_climate_a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belstat.gov.by/upload-belstat/upload-belstat-image/SDG/13_climate_action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13 БОРЬБА С ИЗМЕНЕНИЕМ КЛИМАТА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призывает включать меры реагирования на изменение климата в политику, национальные стратегии и планы. В 2016 году </w:t>
      </w:r>
      <w:r w:rsidRPr="000C20ED">
        <w:rPr>
          <w:rFonts w:ascii="Times New Roman" w:hAnsi="Times New Roman"/>
          <w:sz w:val="30"/>
          <w:szCs w:val="30"/>
        </w:rPr>
        <w:lastRenderedPageBreak/>
        <w:t>Республика Беларусь подписала Парижское соглашение об изменении климата, целями которого выступает удержание прироста глобальной средней температуры ниже 2 градусов и повышение способности адаптироваться к этим изменениям. Также Беларусь входит в число стран, принявших и осуществляющих национальную стратегию снижения риска бедствий в соответствии с Сендайской рамочной программой по снижению риска бедствий до 2030 года.</w:t>
      </w:r>
    </w:p>
    <w:p w:rsidR="003C1329" w:rsidRPr="000C20ED" w:rsidRDefault="003C1329" w:rsidP="003C13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C1329" w:rsidRPr="000C20ED" w:rsidRDefault="003C1329" w:rsidP="003C132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28575</wp:posOffset>
            </wp:positionV>
            <wp:extent cx="733425" cy="733425"/>
            <wp:effectExtent l="0" t="0" r="9525" b="9525"/>
            <wp:wrapSquare wrapText="bothSides"/>
            <wp:docPr id="14" name="Рисунок 14" descr="https://www.belstat.gov.by/upload-belstat/upload-belstat-image/SDG/14_life_below_wa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belstat.gov.by/upload-belstat/upload-belstat-image/SDG/14_life_below_water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14 СОХРАНЕНИЕ МОРСКИХ ЭКОСИСТЕМ </w:t>
      </w:r>
      <w:r>
        <w:rPr>
          <w:rFonts w:ascii="Times New Roman" w:hAnsi="Times New Roman"/>
          <w:sz w:val="30"/>
          <w:szCs w:val="30"/>
        </w:rPr>
        <w:t xml:space="preserve">– </w:t>
      </w:r>
      <w:r w:rsidRPr="000C20ED">
        <w:rPr>
          <w:rFonts w:ascii="Times New Roman" w:hAnsi="Times New Roman"/>
          <w:sz w:val="30"/>
          <w:szCs w:val="30"/>
        </w:rPr>
        <w:t>находясь на Черноморско-Балтийском водоразделе, Беларусь вносит свой вклад в реализацию посредством охраны трансграничных рек, что содействует сохранению акваторий Балтийского и Черного морей. В стране на системной основе принимаются меры по борьбе с загрязнением водных объектов. Улучшено общее состояние водных объектов бассейнов Днепра, Западной Двины, Немана и Припяти (особенно по содержанию биогенных элементов). Наметилась тенденция к стабилизации состояния водных объектов бассейна Западного Буга. Благодаря реконструкции, модернизации и строительству очистных сооружений значительно снижен уровень антропогенной нагрузки на водные объекты.</w:t>
      </w:r>
    </w:p>
    <w:p w:rsidR="003C1329" w:rsidRPr="000C20ED" w:rsidRDefault="003C1329" w:rsidP="003C13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208915</wp:posOffset>
            </wp:positionV>
            <wp:extent cx="809625" cy="811530"/>
            <wp:effectExtent l="0" t="0" r="9525" b="7620"/>
            <wp:wrapSquare wrapText="bothSides"/>
            <wp:docPr id="16" name="Рисунок 16" descr="https://www.belstat.gov.by/upload-belstat/upload-belstat-image/SDG/15_life_on_l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belstat.gov.by/upload-belstat/upload-belstat-image/SDG/15_life_on_lan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1329" w:rsidRPr="000C20ED" w:rsidRDefault="003C1329" w:rsidP="003C1329">
      <w:pPr>
        <w:tabs>
          <w:tab w:val="left" w:pos="1134"/>
        </w:tabs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ЦУР 15 СОХРАНЕНИЕ ЭКОСИСТЕМ СУШИ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 направлена на оптимизацию систем природоохранных и особо охраняемых территорий, внедрение экономических механизмов сохранения и устойчивого использования биологического и ландшафтного разнообразия. </w:t>
      </w:r>
    </w:p>
    <w:p w:rsidR="003C1329" w:rsidRPr="000C20ED" w:rsidRDefault="003C1329" w:rsidP="003C1329">
      <w:pPr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208915</wp:posOffset>
            </wp:positionV>
            <wp:extent cx="866775" cy="868680"/>
            <wp:effectExtent l="0" t="0" r="9525" b="7620"/>
            <wp:wrapSquare wrapText="bothSides"/>
            <wp:docPr id="17" name="Рисунок 17" descr="https://www.belstat.gov.by/upload-belstat/upload-belstat-image/SDG/16_peace_justice_strong_institu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belstat.gov.by/upload-belstat/upload-belstat-image/SDG/16_peace_justice_strong_institutions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1329" w:rsidRPr="000C20ED" w:rsidRDefault="003C1329" w:rsidP="003C1329">
      <w:pPr>
        <w:tabs>
          <w:tab w:val="left" w:pos="1134"/>
        </w:tabs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ЦУР 16 МИР И ПРАВОСУДИЕ 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призывает к сокращению распространенности всех форм насилия, противодействию преступности, созданию необходимых условий для безопасной и активной жизни людей. В Беларуси поступательно реализуются меры, направленные на повышение эффективности работы по предупреждению насилия в семье, на совершенствование законодательства в данной сфере, функционирует система профилактики правонарушений, обеспечивается скоординированная деятельность государственных и общественных организаций в сфере противодействия преступности и коррупции. Противодействие насилию в любых проявлениях является необходимым условием для безопасной и активной жизни людей, свободного развития общества и экономики.</w:t>
      </w:r>
    </w:p>
    <w:p w:rsidR="003C1329" w:rsidRPr="000C20ED" w:rsidRDefault="003C1329" w:rsidP="003C1329">
      <w:pPr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</w:rPr>
      </w:pPr>
    </w:p>
    <w:p w:rsidR="003C1329" w:rsidRPr="000C20ED" w:rsidRDefault="003C1329" w:rsidP="003C1329">
      <w:pPr>
        <w:tabs>
          <w:tab w:val="left" w:pos="1134"/>
        </w:tabs>
        <w:spacing w:after="0" w:line="240" w:lineRule="auto"/>
        <w:ind w:left="-142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9525</wp:posOffset>
            </wp:positionV>
            <wp:extent cx="923925" cy="925830"/>
            <wp:effectExtent l="0" t="0" r="9525" b="7620"/>
            <wp:wrapSquare wrapText="bothSides"/>
            <wp:docPr id="18" name="Рисунок 18" descr="https://www.belstat.gov.by/upload-belstat/upload-belstat-image/SDG/17_partnership_for_the_goa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belstat.gov.by/upload-belstat/upload-belstat-image/SDG/17_partnership_for_the_goals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20ED">
        <w:rPr>
          <w:rFonts w:ascii="Times New Roman" w:hAnsi="Times New Roman"/>
          <w:sz w:val="30"/>
          <w:szCs w:val="30"/>
        </w:rPr>
        <w:t xml:space="preserve">ЦУР 17 ПАРТНЕРСТВО В ИНТЕРЕСАХ УСТОЙЧИВОГО РАЗВИТИЯ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предусматривает укрепление глобальных партнерских связей для пропаганды и достижения амбициозных целей, поставленных в Повестке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2030, путем предоставления знаний, опыта, технологий и финансовых ресурсов. Для успешной реализации этой цели в Беларуси создаются условия для эффективного взаимодействия между правительством, частным сектором и гражданским обществом как на национальном, так и региональном уровне.</w:t>
      </w:r>
    </w:p>
    <w:p w:rsidR="003C1329" w:rsidRPr="000C20ED" w:rsidRDefault="003C1329" w:rsidP="003C1329">
      <w:pPr>
        <w:spacing w:after="0" w:line="240" w:lineRule="auto"/>
        <w:ind w:left="-142"/>
        <w:jc w:val="center"/>
        <w:rPr>
          <w:rFonts w:ascii="Times New Roman" w:hAnsi="Times New Roman"/>
          <w:b/>
          <w:sz w:val="30"/>
          <w:szCs w:val="30"/>
        </w:rPr>
      </w:pPr>
    </w:p>
    <w:p w:rsidR="003C1329" w:rsidRPr="000C20ED" w:rsidRDefault="003C1329" w:rsidP="003C1329">
      <w:pPr>
        <w:spacing w:after="0" w:line="240" w:lineRule="auto"/>
        <w:ind w:left="-142"/>
        <w:jc w:val="center"/>
        <w:rPr>
          <w:rFonts w:ascii="Times New Roman" w:hAnsi="Times New Roman"/>
          <w:b/>
          <w:sz w:val="30"/>
          <w:szCs w:val="30"/>
        </w:rPr>
      </w:pPr>
      <w:r w:rsidRPr="000C20ED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85725</wp:posOffset>
            </wp:positionV>
            <wp:extent cx="1019175" cy="1019175"/>
            <wp:effectExtent l="0" t="0" r="9525" b="9525"/>
            <wp:wrapSquare wrapText="bothSides"/>
            <wp:docPr id="19" name="Рисунок 19" descr="https://www.belstat.gov.by/upload-belstat/upload-belstat-image/SDG/18_bch_20_12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belstat.gov.by/upload-belstat/upload-belstat-image/SDG/18_bch_20_12_201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20ED">
        <w:rPr>
          <w:rFonts w:ascii="Times New Roman" w:hAnsi="Times New Roman"/>
          <w:b/>
          <w:sz w:val="30"/>
          <w:szCs w:val="30"/>
        </w:rPr>
        <w:t>Беларусь и Цели Устойчивого Развития.</w:t>
      </w:r>
    </w:p>
    <w:p w:rsidR="003C1329" w:rsidRPr="000C20ED" w:rsidRDefault="003C1329" w:rsidP="003C1329">
      <w:pPr>
        <w:spacing w:after="0" w:line="240" w:lineRule="auto"/>
        <w:ind w:left="-142"/>
        <w:jc w:val="center"/>
        <w:rPr>
          <w:rFonts w:ascii="Times New Roman" w:hAnsi="Times New Roman"/>
          <w:sz w:val="30"/>
          <w:szCs w:val="30"/>
        </w:rPr>
      </w:pPr>
    </w:p>
    <w:p w:rsidR="003C1329" w:rsidRPr="000C20ED" w:rsidRDefault="003C1329" w:rsidP="003C13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В сентябре 2015 года Республика Беларусь стала одной из 193 стран, выразивших приверженность Повестке дня в области устойчивого развития на период до 2030 года, и приняла обязательства обеспечивать устойчивый, всеохватный и поступательный экономический рост, социальную интеграцию и охрану окружающей среды, а также способствовать обеспечению мира и безопасности на планете. </w:t>
      </w:r>
    </w:p>
    <w:p w:rsidR="003C1329" w:rsidRPr="000C20ED" w:rsidRDefault="003C1329" w:rsidP="003C132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Для обеспечения всестороннего учета национальных реалий и приоритетов в процессе осуществления Повестки-2030, а также в целях учета комплексного и неделимого характера ЦУР и обеспечения сбалансированности всех трех компонентов устойчивого развития: экономического, социального и экологического, в Беларуси сформирован национальный координационный механизм. </w:t>
      </w:r>
    </w:p>
    <w:p w:rsidR="003C1329" w:rsidRPr="000C20ED" w:rsidRDefault="003C1329" w:rsidP="003C132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0C20ED">
        <w:rPr>
          <w:rFonts w:ascii="Times New Roman" w:hAnsi="Times New Roman"/>
          <w:sz w:val="30"/>
          <w:szCs w:val="30"/>
        </w:rPr>
        <w:t xml:space="preserve">В числе институциональных инноваций – учреждение Президентом Республики Беларусь поста Национального координатора по вопросам достижения ЦУР, формирование под его руководством национального совета по устойчивому развитию. В настоящий момент эту почетную должность  занимает Бельский Валерий Иванович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</w:t>
      </w:r>
      <w:r w:rsidRPr="000C20ED">
        <w:rPr>
          <w:rFonts w:ascii="Times New Roman" w:hAnsi="Times New Roman"/>
          <w:sz w:val="30"/>
          <w:szCs w:val="30"/>
          <w:shd w:val="clear" w:color="auto" w:fill="FFFFFF"/>
        </w:rPr>
        <w:t>Заместитель Председателя Совета Республики Национального собрания Республики Беларусь.</w:t>
      </w:r>
    </w:p>
    <w:p w:rsidR="003C1329" w:rsidRPr="000C20ED" w:rsidRDefault="003C1329" w:rsidP="003C132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Деятельность совета, сформированного на уровне руководства             30 профильных органов государственного управления и регионов, позвол</w:t>
      </w:r>
      <w:r>
        <w:rPr>
          <w:rFonts w:ascii="Times New Roman" w:hAnsi="Times New Roman"/>
          <w:sz w:val="30"/>
          <w:szCs w:val="30"/>
        </w:rPr>
        <w:t>яе</w:t>
      </w:r>
      <w:r w:rsidRPr="000C20ED">
        <w:rPr>
          <w:rFonts w:ascii="Times New Roman" w:hAnsi="Times New Roman"/>
          <w:sz w:val="30"/>
          <w:szCs w:val="30"/>
        </w:rPr>
        <w:t>т закрепить ответственность за выполнение ЦУР за конкретными правительственными агентствами, созда</w:t>
      </w:r>
      <w:r>
        <w:rPr>
          <w:rFonts w:ascii="Times New Roman" w:hAnsi="Times New Roman"/>
          <w:sz w:val="30"/>
          <w:szCs w:val="30"/>
        </w:rPr>
        <w:t>е</w:t>
      </w:r>
      <w:r w:rsidRPr="000C20ED">
        <w:rPr>
          <w:rFonts w:ascii="Times New Roman" w:hAnsi="Times New Roman"/>
          <w:sz w:val="30"/>
          <w:szCs w:val="30"/>
        </w:rPr>
        <w:t>т платформу для межсекторального обмена и обсуждения прогресса выполнения ЦУР, позвол</w:t>
      </w:r>
      <w:r>
        <w:rPr>
          <w:rFonts w:ascii="Times New Roman" w:hAnsi="Times New Roman"/>
          <w:sz w:val="30"/>
          <w:szCs w:val="30"/>
        </w:rPr>
        <w:t>яе</w:t>
      </w:r>
      <w:r w:rsidRPr="000C20ED">
        <w:rPr>
          <w:rFonts w:ascii="Times New Roman" w:hAnsi="Times New Roman"/>
          <w:sz w:val="30"/>
          <w:szCs w:val="30"/>
        </w:rPr>
        <w:t>т эффективно решать задачи вертикальной и горизонтальной координации.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В Могилевской области распоряжением председателя облисполкома от 4 ноября 2017 г. № 189-р «О мерах по достижению Целей устойчивого развития» ответственным за реализацию Целей </w:t>
      </w:r>
      <w:r w:rsidRPr="000C20ED">
        <w:rPr>
          <w:rFonts w:ascii="Times New Roman" w:hAnsi="Times New Roman"/>
          <w:sz w:val="30"/>
          <w:szCs w:val="30"/>
        </w:rPr>
        <w:lastRenderedPageBreak/>
        <w:t xml:space="preserve">устойчивого развития определен заместитель председателя облисполкома </w:t>
      </w:r>
      <w:r w:rsidRPr="000C20ED">
        <w:rPr>
          <w:rFonts w:ascii="Times New Roman" w:hAnsi="Times New Roman"/>
          <w:i/>
          <w:sz w:val="30"/>
          <w:szCs w:val="30"/>
        </w:rPr>
        <w:t>(Страхар Р.Б.)</w:t>
      </w:r>
      <w:r w:rsidRPr="000C20ED">
        <w:rPr>
          <w:rFonts w:ascii="Times New Roman" w:hAnsi="Times New Roman"/>
          <w:sz w:val="30"/>
          <w:szCs w:val="30"/>
        </w:rPr>
        <w:t>, создана областная рабочая группа по устойчивому развитию.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Областной рабочей группой по устойчивому развитию было организовано широкое информирование по теме устойчивого развития (проведены семинары для рабочей группы, местных органов власти, СМИ, некоммерческих организаций) и организована разработка </w:t>
      </w:r>
      <w:r w:rsidRPr="000C20ED">
        <w:rPr>
          <w:rFonts w:ascii="Times New Roman" w:hAnsi="Times New Roman"/>
          <w:bCs/>
          <w:sz w:val="30"/>
          <w:szCs w:val="30"/>
        </w:rPr>
        <w:t xml:space="preserve">Стратегии устойчивого развития Могилевской области на период до </w:t>
      </w:r>
      <w:r>
        <w:rPr>
          <w:rFonts w:ascii="Times New Roman" w:hAnsi="Times New Roman"/>
          <w:bCs/>
          <w:sz w:val="30"/>
          <w:szCs w:val="30"/>
        </w:rPr>
        <w:t xml:space="preserve">  </w:t>
      </w:r>
      <w:r w:rsidRPr="000C20ED">
        <w:rPr>
          <w:rFonts w:ascii="Times New Roman" w:hAnsi="Times New Roman"/>
          <w:bCs/>
          <w:sz w:val="30"/>
          <w:szCs w:val="30"/>
        </w:rPr>
        <w:t xml:space="preserve">2035 года. Данный документ утвержден председателем облисполкома </w:t>
      </w:r>
      <w:r>
        <w:rPr>
          <w:rFonts w:ascii="Times New Roman" w:hAnsi="Times New Roman"/>
          <w:bCs/>
          <w:sz w:val="30"/>
          <w:szCs w:val="30"/>
        </w:rPr>
        <w:t xml:space="preserve">                </w:t>
      </w:r>
      <w:r w:rsidRPr="000C20ED">
        <w:rPr>
          <w:rFonts w:ascii="Times New Roman" w:hAnsi="Times New Roman"/>
          <w:bCs/>
          <w:sz w:val="30"/>
          <w:szCs w:val="30"/>
        </w:rPr>
        <w:t>31 декабря 2020 г. и предварительно получил одобрение Президиума областного Совета депутатов.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 xml:space="preserve">На областном уровне такой документ принят впервые, в нем отражено будущее региона к 2035 году таким, каким хотят его видеть жители сел и городов, молодежь и пенсионеры, предприниматели, организации и предприятия области. </w:t>
      </w:r>
    </w:p>
    <w:p w:rsidR="003C1329" w:rsidRPr="000C20ED" w:rsidRDefault="003C1329" w:rsidP="003C1329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 xml:space="preserve">Было важно, чтобы в своей работе каждый видел не только свои ведомственные интересы, но понимал, как это скажется на интересах других. Для этого были учтены предложения экологов и представителей промышленных предприятий,  жителей крупных городов и представителей небольших по численности районов, общественных организаций и органов государственного управления, учителей, врачей, привлеченных международных экспертов. 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>По большому счету Стратегия – это документ, реализация которого влияет на жизнь каждого жителя Могилевщины. Но и успех в ее реализации также зависит от каждого. Поэтому абсолютно каждый может и должен внести свой вклад в реализацию планов развития области.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 xml:space="preserve">Стратегия – это долгосрочный план вложения инвестиций нынешнего поколения в уверенное будущее последующих поколений. Реализация Стратегии позволяет: 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 xml:space="preserve">• объединить граждан, бизнес, органы власти для совместной разработки и в последующем для совместного достижения желаемого будущего к 2035 году с учетом интересов каждой из сторон, каждого человека; 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 xml:space="preserve">• сконцентрировать усилия и ресурсы на ключевых направлениях, ускоряющих достижение областью устойчивого развития; 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 xml:space="preserve">• мобилизовать внутренние резервы и привлечь внешние ресурсы для развития области; 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t>• сформировать позитивный имидж Могилевской области как территории с благоприятными экологией и бизнес-климатом, достойным качеством жизни, с развитым гражданским обществом и надлежащим управлением.</w:t>
      </w:r>
    </w:p>
    <w:p w:rsidR="003C1329" w:rsidRPr="000C20ED" w:rsidRDefault="003C1329" w:rsidP="003C13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bCs/>
          <w:sz w:val="30"/>
          <w:szCs w:val="30"/>
        </w:rPr>
        <w:lastRenderedPageBreak/>
        <w:tab/>
      </w:r>
      <w:r w:rsidRPr="000C20ED">
        <w:rPr>
          <w:rFonts w:ascii="Times New Roman" w:hAnsi="Times New Roman"/>
          <w:sz w:val="30"/>
          <w:szCs w:val="30"/>
        </w:rPr>
        <w:t>В итоге собирательным образом, какой должна быть Могилевская область, стало:</w:t>
      </w:r>
    </w:p>
    <w:p w:rsidR="003C1329" w:rsidRPr="000C20ED" w:rsidRDefault="003C1329" w:rsidP="003C1329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 w:rsidRPr="000C20ED">
        <w:rPr>
          <w:rFonts w:ascii="Times New Roman" w:hAnsi="Times New Roman"/>
          <w:b/>
          <w:bCs/>
          <w:i/>
          <w:sz w:val="30"/>
          <w:szCs w:val="30"/>
        </w:rPr>
        <w:t>Могилевская область с населением более 1 миллиона человек является устойчиво развивающимся регионом:</w:t>
      </w:r>
    </w:p>
    <w:p w:rsidR="003C1329" w:rsidRPr="000C20ED" w:rsidRDefault="003C1329" w:rsidP="003C1329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 w:rsidRPr="000C20ED">
        <w:rPr>
          <w:rFonts w:ascii="Times New Roman" w:hAnsi="Times New Roman"/>
          <w:b/>
          <w:bCs/>
          <w:i/>
          <w:sz w:val="30"/>
          <w:szCs w:val="30"/>
        </w:rPr>
        <w:t>обладающим благоприятными и безопасными условиями для жизни, развития и самореализации граждан;</w:t>
      </w:r>
    </w:p>
    <w:p w:rsidR="003C1329" w:rsidRPr="000C20ED" w:rsidRDefault="003C1329" w:rsidP="003C1329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 w:rsidRPr="000C20ED">
        <w:rPr>
          <w:rFonts w:ascii="Times New Roman" w:hAnsi="Times New Roman"/>
          <w:b/>
          <w:bCs/>
          <w:i/>
          <w:sz w:val="30"/>
          <w:szCs w:val="30"/>
        </w:rPr>
        <w:t>опирающимся на развитую диверсифицированную «зеленую» экономику, главными драйверами роста которой выступают экологизация и цифровизация, рациональное использование местных сырьевых ресурсов и циркулярная экономика (основанная на возобновлении ресурсов);</w:t>
      </w:r>
    </w:p>
    <w:p w:rsidR="003C1329" w:rsidRPr="000C20ED" w:rsidRDefault="003C1329" w:rsidP="003C1329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 w:rsidRPr="000C20ED">
        <w:rPr>
          <w:rFonts w:ascii="Times New Roman" w:hAnsi="Times New Roman"/>
          <w:b/>
          <w:bCs/>
          <w:i/>
          <w:sz w:val="30"/>
          <w:szCs w:val="30"/>
        </w:rPr>
        <w:t>характеризующимся интеллектуально развитым, гуманным, поликультурным, справедливым, толерантным, инклюзивным, гендерно равноправным и социально ответственным обществом, сохраняющим этнокультурную идентичность;</w:t>
      </w:r>
    </w:p>
    <w:p w:rsidR="003C1329" w:rsidRPr="000C20ED" w:rsidRDefault="003C1329" w:rsidP="003C1329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/>
          <w:b/>
          <w:bCs/>
          <w:i/>
          <w:sz w:val="30"/>
          <w:szCs w:val="30"/>
        </w:rPr>
      </w:pPr>
      <w:r w:rsidRPr="000C20ED">
        <w:rPr>
          <w:rFonts w:ascii="Times New Roman" w:hAnsi="Times New Roman"/>
          <w:b/>
          <w:bCs/>
          <w:i/>
          <w:sz w:val="30"/>
          <w:szCs w:val="30"/>
        </w:rPr>
        <w:t xml:space="preserve">стремящимся к климатической нейтральности, минимизации воздействия на окружающую среду, сохранению природных ресурсов и биоразнообразия; 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0C20ED">
        <w:rPr>
          <w:rFonts w:ascii="Times New Roman" w:hAnsi="Times New Roman"/>
          <w:b/>
          <w:bCs/>
          <w:i/>
          <w:sz w:val="30"/>
          <w:szCs w:val="30"/>
        </w:rPr>
        <w:t>отличающимся системой вовлеченного управления развитием, учитывающей интересы всех слоев населения, всех уровней административно-территориального деления и населенных пунктов, входящих в состав Могилевской области.</w:t>
      </w:r>
    </w:p>
    <w:p w:rsidR="003C1329" w:rsidRPr="000C20ED" w:rsidRDefault="003C1329" w:rsidP="003C1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Такое объемное и сложное видение невозможно реализовать, не разбив его много более мелких целей и задач и, что очень важно, не определив те численные индикаторы</w:t>
      </w:r>
      <w:r>
        <w:rPr>
          <w:rFonts w:ascii="Times New Roman" w:hAnsi="Times New Roman"/>
          <w:sz w:val="30"/>
          <w:szCs w:val="30"/>
        </w:rPr>
        <w:t>,</w:t>
      </w:r>
      <w:r w:rsidRPr="000C20ED">
        <w:rPr>
          <w:rFonts w:ascii="Times New Roman" w:hAnsi="Times New Roman"/>
          <w:sz w:val="30"/>
          <w:szCs w:val="30"/>
        </w:rPr>
        <w:t xml:space="preserve"> по которым можно будет оценивать успешность нашей работы. Все это реализовано в Стратегии.</w:t>
      </w:r>
    </w:p>
    <w:p w:rsidR="003C1329" w:rsidRPr="000C20ED" w:rsidRDefault="003C1329" w:rsidP="003C13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Для того, что бы этот документ стал действительно работающим, в Стратегии предусмотрены три этапа его реализации: </w:t>
      </w:r>
    </w:p>
    <w:p w:rsidR="003C1329" w:rsidRPr="000C20ED" w:rsidRDefault="003C1329" w:rsidP="003C1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i/>
          <w:sz w:val="30"/>
          <w:szCs w:val="30"/>
        </w:rPr>
        <w:t>Первый этап «Ориентация на будущие поколения</w:t>
      </w:r>
      <w:r w:rsidRPr="000C20ED">
        <w:rPr>
          <w:rFonts w:ascii="Times New Roman" w:hAnsi="Times New Roman"/>
          <w:sz w:val="30"/>
          <w:szCs w:val="30"/>
        </w:rPr>
        <w:t xml:space="preserve">» – с даты утверждения Стратегии по 2023 год. </w:t>
      </w:r>
    </w:p>
    <w:p w:rsidR="003C1329" w:rsidRPr="000C20ED" w:rsidRDefault="003C1329" w:rsidP="003C1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Основная цель этапа – внедрение Стратегии в действующую систему планирования в качестве основного документа стратегического развития области и максимальное вовлечение населения и организаций.</w:t>
      </w:r>
    </w:p>
    <w:p w:rsidR="003C1329" w:rsidRPr="000C20ED" w:rsidRDefault="003C1329" w:rsidP="003C1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i/>
          <w:sz w:val="30"/>
          <w:szCs w:val="30"/>
        </w:rPr>
        <w:t xml:space="preserve">Второй этап «Десятилетие перехода к устойчивому развитию» </w:t>
      </w:r>
      <w:r w:rsidRPr="000C20ED">
        <w:rPr>
          <w:rFonts w:ascii="Times New Roman" w:hAnsi="Times New Roman"/>
          <w:sz w:val="30"/>
          <w:szCs w:val="30"/>
        </w:rPr>
        <w:t xml:space="preserve">– 2024–2030 годы. </w:t>
      </w:r>
    </w:p>
    <w:p w:rsidR="003C1329" w:rsidRPr="000C20ED" w:rsidRDefault="003C1329" w:rsidP="003C1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В течение этого периода основной упор будет сделан на структурное изменение отраслей. Будет осуществляться гармоничное развитие экономики при сохранении природных ресурсов, повсеместное внедрение научных достижений и информационных технологий, культурное преобразование общества и повышение имиджа сельских территорий для жизни. </w:t>
      </w:r>
    </w:p>
    <w:p w:rsidR="003C1329" w:rsidRDefault="003C1329" w:rsidP="003C1329">
      <w:pPr>
        <w:spacing w:after="0" w:line="240" w:lineRule="auto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br w:type="page"/>
      </w:r>
    </w:p>
    <w:p w:rsidR="003C1329" w:rsidRPr="000C20ED" w:rsidRDefault="003C1329" w:rsidP="003C1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i/>
          <w:sz w:val="30"/>
          <w:szCs w:val="30"/>
        </w:rPr>
        <w:lastRenderedPageBreak/>
        <w:t xml:space="preserve">Третий этап «Обеспечение устойчивости процессов развития Могилевской области» </w:t>
      </w:r>
      <w:r w:rsidRPr="000C20ED">
        <w:rPr>
          <w:rFonts w:ascii="Times New Roman" w:hAnsi="Times New Roman"/>
          <w:sz w:val="30"/>
          <w:szCs w:val="30"/>
        </w:rPr>
        <w:t xml:space="preserve">– 2031–2035 годы. </w:t>
      </w:r>
    </w:p>
    <w:p w:rsidR="003C1329" w:rsidRPr="000C20ED" w:rsidRDefault="003C1329" w:rsidP="003C1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Основная цель этого этапа – это закрепление достигнутых темпов устойчивого развития Могилевской области, определение новых, инновационных подходов для будущего развития области. Необходимо будет сформировать новую Стратегию, учитывая опыт и уроки пройденных этапов.</w:t>
      </w:r>
    </w:p>
    <w:p w:rsidR="003C1329" w:rsidRPr="000C20ED" w:rsidRDefault="003C1329" w:rsidP="003C132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ab/>
        <w:t>Работа по реализации Стратегии выстроена на основании ежегодных Планов работы в области устойчивого развития, утверждаемых председателем облисполкома.</w:t>
      </w:r>
    </w:p>
    <w:p w:rsidR="003C1329" w:rsidRPr="000C20ED" w:rsidRDefault="003C1329" w:rsidP="003C132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В 2023 году завершается реализация Первого этапа Стратегии. 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В ходе данного этапа уже сделано немало важных шагов: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в области сформировано понимание процессов устойчивого развития местной властью, Стратегия интегрирована в Планы развития городов и районов Могилевской области;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для областной рабочей группы, местных органов власти, СМИ, некоммерческих организаций проведен ряд целевых мероприятий (ежегодно – более 170 встреч); 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обеспечена максимальная публичность проводимой работы (за два года в мероприятиях приняло участие более 17 тысяч жителей области);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вопросы реализации ЦУР включены в повестку Единых дней информирования, фактически это вовлечение всего экономически активного населения региона; 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в обучающие программы учащихся высших и средних учебных заведений включаются вопросы по достижению ЦУР, внедрению и реализации Стратегии;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сформирована сеть ресурсных центров в сфере образования по ЦУР (функционируют 25 опорных центров организации образовательных практик устойчивого развития Могилевской области);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0C20ED">
        <w:rPr>
          <w:rFonts w:ascii="Times New Roman" w:hAnsi="Times New Roman"/>
          <w:sz w:val="30"/>
          <w:szCs w:val="30"/>
        </w:rPr>
        <w:t xml:space="preserve">ведется повышение квалификации преподавателей на базе УО «Могилевский государственный областной институт развития образования» (за 2022 </w:t>
      </w:r>
      <w:r>
        <w:rPr>
          <w:rFonts w:ascii="Times New Roman" w:hAnsi="Times New Roman"/>
          <w:sz w:val="30"/>
          <w:szCs w:val="30"/>
        </w:rPr>
        <w:t xml:space="preserve">год </w:t>
      </w:r>
      <w:r w:rsidRPr="000C20ED">
        <w:rPr>
          <w:rFonts w:ascii="Times New Roman" w:hAnsi="Times New Roman"/>
          <w:sz w:val="30"/>
          <w:szCs w:val="30"/>
        </w:rPr>
        <w:t xml:space="preserve">прошло обучение 2800 педагогических работников области). </w:t>
      </w:r>
      <w:r w:rsidRPr="000C20ED">
        <w:rPr>
          <w:rFonts w:ascii="Times New Roman" w:hAnsi="Times New Roman"/>
          <w:bCs/>
          <w:sz w:val="30"/>
          <w:szCs w:val="30"/>
          <w:shd w:val="clear" w:color="auto" w:fill="FFFFFF"/>
        </w:rPr>
        <w:t>5 мая 2023 года</w:t>
      </w:r>
      <w:r w:rsidRPr="000C20ED">
        <w:rPr>
          <w:rFonts w:ascii="Times New Roman" w:hAnsi="Times New Roman"/>
          <w:sz w:val="30"/>
          <w:szCs w:val="30"/>
        </w:rPr>
        <w:t xml:space="preserve"> на базе МГОИРО проведен </w:t>
      </w:r>
      <w:r w:rsidRPr="000C20ED">
        <w:rPr>
          <w:rFonts w:ascii="Times New Roman" w:hAnsi="Times New Roman"/>
          <w:bCs/>
          <w:sz w:val="30"/>
          <w:szCs w:val="30"/>
          <w:shd w:val="clear" w:color="auto" w:fill="FFFFFF"/>
        </w:rPr>
        <w:t>VII Методический фестиваль для педагогических работников учреждений образования по теме «Инновации в образовании Могилевской области в интересах реализации стратегии устойчивого развития»</w:t>
      </w:r>
      <w:r w:rsidRPr="000C20ED">
        <w:rPr>
          <w:rFonts w:ascii="Times New Roman" w:hAnsi="Times New Roman"/>
          <w:sz w:val="30"/>
          <w:szCs w:val="30"/>
          <w:shd w:val="clear" w:color="auto" w:fill="FFFFFF"/>
        </w:rPr>
        <w:t>;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с февраля т</w:t>
      </w:r>
      <w:r>
        <w:rPr>
          <w:rFonts w:ascii="Times New Roman" w:hAnsi="Times New Roman"/>
          <w:sz w:val="30"/>
          <w:szCs w:val="30"/>
        </w:rPr>
        <w:t>екуще</w:t>
      </w:r>
      <w:r w:rsidRPr="000C20ED">
        <w:rPr>
          <w:rFonts w:ascii="Times New Roman" w:hAnsi="Times New Roman"/>
          <w:sz w:val="30"/>
          <w:szCs w:val="30"/>
        </w:rPr>
        <w:t xml:space="preserve">го года уже на платной основе в </w:t>
      </w:r>
      <w:r>
        <w:rPr>
          <w:rFonts w:ascii="Times New Roman" w:hAnsi="Times New Roman"/>
          <w:sz w:val="30"/>
          <w:szCs w:val="30"/>
        </w:rPr>
        <w:t xml:space="preserve">УО «Могилевский государственный </w:t>
      </w:r>
      <w:r w:rsidRPr="000C20ED">
        <w:rPr>
          <w:rFonts w:ascii="Times New Roman" w:hAnsi="Times New Roman"/>
          <w:sz w:val="30"/>
          <w:szCs w:val="30"/>
        </w:rPr>
        <w:t xml:space="preserve">университет имени </w:t>
      </w:r>
      <w:r>
        <w:rPr>
          <w:rFonts w:ascii="Times New Roman" w:hAnsi="Times New Roman"/>
          <w:sz w:val="30"/>
          <w:szCs w:val="30"/>
        </w:rPr>
        <w:t>А.А.</w:t>
      </w:r>
      <w:r w:rsidRPr="000C20ED">
        <w:rPr>
          <w:rFonts w:ascii="Times New Roman" w:hAnsi="Times New Roman"/>
          <w:sz w:val="30"/>
          <w:szCs w:val="30"/>
        </w:rPr>
        <w:t>Кулешова</w:t>
      </w:r>
      <w:r>
        <w:rPr>
          <w:rFonts w:ascii="Times New Roman" w:hAnsi="Times New Roman"/>
          <w:sz w:val="30"/>
          <w:szCs w:val="30"/>
        </w:rPr>
        <w:t>»</w:t>
      </w:r>
      <w:r w:rsidRPr="000C20ED">
        <w:rPr>
          <w:rFonts w:ascii="Times New Roman" w:hAnsi="Times New Roman"/>
          <w:sz w:val="30"/>
          <w:szCs w:val="30"/>
        </w:rPr>
        <w:t xml:space="preserve"> ведется подготовка специалистов по тематике устойчивого развития;</w:t>
      </w:r>
    </w:p>
    <w:p w:rsidR="003C1329" w:rsidRPr="000C20ED" w:rsidRDefault="003C1329" w:rsidP="003C1329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 xml:space="preserve">в целях информирования широкого круга заинтересованных о возможности участия в мероприятиях, проводимых в области, </w:t>
      </w: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сформирован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>и размещен на сайте облисполкома к</w:t>
      </w:r>
      <w:r w:rsidRPr="000C20ED">
        <w:rPr>
          <w:rFonts w:ascii="Times New Roman" w:eastAsia="Times New Roman" w:hAnsi="Times New Roman"/>
          <w:bCs/>
          <w:sz w:val="30"/>
          <w:szCs w:val="30"/>
          <w:lang w:eastAsia="ru-RU"/>
        </w:rPr>
        <w:t>алендарный план основных мероприятий по реализации Стратегии устойчивого развития Могилевской области на период до 2035 года и План работы в области устойчивого развития на 2023 год, утвержденн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ый</w:t>
      </w:r>
      <w:r w:rsidRPr="000C20E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председателем Могилевского облисполкома А.М.Исаченко 6 января 2023 г.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В регионах области активно реализуются местные инициативы. Здесь флагманом является Славгород, которым реализовано несколько крупных проектов международной технической помощи.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Сегодня мы научились работать не только с внешними ресурсами, но и использовать местные источники финансирования, направлять их на поддержку наиболее значимых для регионов инициатив.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0C20ED">
        <w:rPr>
          <w:rFonts w:ascii="Times New Roman" w:hAnsi="Times New Roman"/>
          <w:sz w:val="30"/>
          <w:szCs w:val="30"/>
        </w:rPr>
        <w:t xml:space="preserve">Очень продуктивно в этом направлении работает </w:t>
      </w:r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>Могилевская областная ассоциация местных Советов депутатов, которая с 2019 года (за 4 года) на принципах софинансирования смогла поддержать более  175 инициатив на сумму более 320 тысяч рублей.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>Многие инициативы реализуются организациями и гражданами вообще без какой-либо финансовой поддержки извне.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Об этом свидетельствует активность, проявленная в ходе проведения конкурсов местных инициатив. Такие конкурсы начали проводиться облисполкомом в рамках реализации областной Стратегии: в 2021 году поступило 44 инициативы, в 2022 году </w:t>
      </w:r>
      <w:r>
        <w:rPr>
          <w:rFonts w:ascii="Times New Roman" w:hAnsi="Times New Roman"/>
          <w:iCs/>
          <w:sz w:val="30"/>
          <w:szCs w:val="30"/>
          <w:shd w:val="clear" w:color="auto" w:fill="FFFFFF"/>
        </w:rPr>
        <w:t>–</w:t>
      </w:r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 xml:space="preserve"> 30 инициатив. При этом, по условиям конкурса, его победителям денежные награды не присуждаются. Они получают дипломы и информационную поддержку.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0C20ED">
        <w:rPr>
          <w:rFonts w:ascii="Times New Roman" w:hAnsi="Times New Roman"/>
          <w:iCs/>
          <w:sz w:val="30"/>
          <w:szCs w:val="30"/>
          <w:shd w:val="clear" w:color="auto" w:fill="FFFFFF"/>
        </w:rPr>
        <w:t>Важным является и то, что в процессы достижения ЦУР включаются не только граждане, но и целые организации: 6</w:t>
      </w:r>
      <w:r w:rsidRPr="000C20ED">
        <w:rPr>
          <w:rFonts w:ascii="Times New Roman" w:hAnsi="Times New Roman"/>
          <w:sz w:val="30"/>
          <w:szCs w:val="30"/>
        </w:rPr>
        <w:t xml:space="preserve"> организаций Могилевской области уже подписали декларации о присоединении к достижению Целей устойчивого развития</w:t>
      </w:r>
      <w:r w:rsidRPr="000C20ED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  <w:shd w:val="clear" w:color="auto" w:fill="FFFFFF"/>
        </w:rPr>
        <w:t xml:space="preserve">Совсем недавно к этому процессу с конкретной программой действий присоединился </w:t>
      </w:r>
      <w:r>
        <w:rPr>
          <w:rFonts w:ascii="Times New Roman" w:hAnsi="Times New Roman"/>
          <w:sz w:val="30"/>
          <w:szCs w:val="30"/>
          <w:shd w:val="clear" w:color="auto" w:fill="FFFFFF"/>
        </w:rPr>
        <w:t>МО УВО «</w:t>
      </w:r>
      <w:r w:rsidRPr="000C20ED">
        <w:rPr>
          <w:rFonts w:ascii="Times New Roman" w:hAnsi="Times New Roman"/>
          <w:sz w:val="30"/>
          <w:szCs w:val="30"/>
          <w:shd w:val="clear" w:color="auto" w:fill="FFFFFF"/>
        </w:rPr>
        <w:t>Белорусско-Российский университет</w:t>
      </w:r>
      <w:r>
        <w:rPr>
          <w:rFonts w:ascii="Times New Roman" w:hAnsi="Times New Roman"/>
          <w:sz w:val="30"/>
          <w:szCs w:val="30"/>
          <w:shd w:val="clear" w:color="auto" w:fill="FFFFFF"/>
        </w:rPr>
        <w:t>»</w:t>
      </w:r>
      <w:r w:rsidRPr="000C20ED">
        <w:rPr>
          <w:rFonts w:ascii="Times New Roman" w:hAnsi="Times New Roman"/>
          <w:sz w:val="30"/>
          <w:szCs w:val="30"/>
          <w:shd w:val="clear" w:color="auto" w:fill="FFFFFF"/>
        </w:rPr>
        <w:t xml:space="preserve"> – в структуре университета создан</w:t>
      </w:r>
      <w:r w:rsidRPr="000C20ED">
        <w:rPr>
          <w:rFonts w:ascii="Times New Roman" w:hAnsi="Times New Roman"/>
          <w:bCs/>
          <w:sz w:val="30"/>
          <w:szCs w:val="30"/>
        </w:rPr>
        <w:t xml:space="preserve"> Международный научно-образовательный центр по устойчивому развитию, зеленой экономике и информатизации.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 xml:space="preserve">На страновом уровне начата реализация проекта </w:t>
      </w:r>
      <w:r w:rsidRPr="000C20E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международной технической помощи «Поддержка усилий Республики Беларусь в национализации и локализации Целей устойчивого развития», который  </w:t>
      </w:r>
      <w:r w:rsidRPr="000C20ED">
        <w:rPr>
          <w:rFonts w:ascii="Times New Roman" w:eastAsia="Times New Roman" w:hAnsi="Times New Roman"/>
          <w:sz w:val="30"/>
          <w:szCs w:val="30"/>
          <w:lang w:eastAsia="ru-RU"/>
        </w:rPr>
        <w:t>одобрен постановлением Совета Министров Республики Беларусь от                  27 декабря 2022 г. № 918.</w:t>
      </w:r>
    </w:p>
    <w:p w:rsidR="003C1329" w:rsidRPr="000C20ED" w:rsidRDefault="003C1329" w:rsidP="003C13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Многое еще предстоит сделать. Мы находимся в начале пути, очень важно объяснить жителям области, что такое Цели устойчивого развития. Понять всем, что в своей жизни и работе мы уже делаем многое для их достижения. Но очень важно свои действия соизмерять с интересами других. </w:t>
      </w:r>
    </w:p>
    <w:p w:rsidR="003C1329" w:rsidRPr="000C20ED" w:rsidRDefault="003C1329" w:rsidP="003C132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lastRenderedPageBreak/>
        <w:t xml:space="preserve">Мы строим предприятия </w:t>
      </w:r>
      <w:r>
        <w:rPr>
          <w:rFonts w:ascii="Times New Roman" w:hAnsi="Times New Roman"/>
          <w:sz w:val="30"/>
          <w:szCs w:val="30"/>
        </w:rPr>
        <w:t>–</w:t>
      </w:r>
      <w:r w:rsidRPr="000C20ED">
        <w:rPr>
          <w:rFonts w:ascii="Times New Roman" w:hAnsi="Times New Roman"/>
          <w:sz w:val="30"/>
          <w:szCs w:val="30"/>
        </w:rPr>
        <w:t xml:space="preserve"> это создает рабочие места и увеличивает поступления налогов, но важно, чтобы технологии соответствовали экологическим требованиям и служили основой для будущего развития. </w:t>
      </w:r>
    </w:p>
    <w:p w:rsidR="003C1329" w:rsidRPr="000C20ED" w:rsidRDefault="003C1329" w:rsidP="003C132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>Мы учим детей – но важно понимать, кем они станут, когда        вырастут, какие специальности будут востребованы, заложить в них бережное и уважительное отношение к природе.</w:t>
      </w:r>
    </w:p>
    <w:p w:rsidR="003C1329" w:rsidRPr="000C20ED" w:rsidRDefault="003C1329" w:rsidP="003C132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C20ED">
        <w:rPr>
          <w:rFonts w:ascii="Times New Roman" w:hAnsi="Times New Roman"/>
          <w:sz w:val="30"/>
          <w:szCs w:val="30"/>
        </w:rPr>
        <w:t xml:space="preserve">Особая миссия – это осознание в каждом городе и районе, на предприятии и в организации, что для них самое актуальное и что они могут сделать. Каждый человек, каждое мнение важно и может внести свой уникальный вклад в общее дело. </w:t>
      </w:r>
    </w:p>
    <w:p w:rsidR="003C1329" w:rsidRDefault="003C1329" w:rsidP="003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C1329" w:rsidRDefault="003C1329" w:rsidP="003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C1329" w:rsidRDefault="003C1329" w:rsidP="003C1329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>Материал подготовлен</w:t>
      </w:r>
      <w:r>
        <w:rPr>
          <w:bCs/>
          <w:i/>
          <w:sz w:val="30"/>
          <w:szCs w:val="30"/>
        </w:rPr>
        <w:t xml:space="preserve"> </w:t>
      </w:r>
    </w:p>
    <w:p w:rsidR="003C1329" w:rsidRDefault="003C1329" w:rsidP="003C1329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 xml:space="preserve">комитетом экономики </w:t>
      </w:r>
    </w:p>
    <w:p w:rsidR="003C1329" w:rsidRPr="00F350E4" w:rsidRDefault="003C1329" w:rsidP="003C1329">
      <w:pPr>
        <w:pStyle w:val="2"/>
        <w:spacing w:line="280" w:lineRule="exact"/>
        <w:ind w:right="0"/>
        <w:jc w:val="right"/>
        <w:rPr>
          <w:bCs/>
          <w:i/>
          <w:sz w:val="30"/>
          <w:szCs w:val="30"/>
        </w:rPr>
      </w:pPr>
      <w:r>
        <w:rPr>
          <w:bCs/>
          <w:i/>
          <w:sz w:val="30"/>
          <w:szCs w:val="30"/>
        </w:rPr>
        <w:t>Могилевского облисполкома</w:t>
      </w:r>
    </w:p>
    <w:p w:rsidR="003C1329" w:rsidRDefault="003C1329" w:rsidP="003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C1329" w:rsidRDefault="003C1329" w:rsidP="003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C1329" w:rsidRDefault="003C1329" w:rsidP="003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C1329" w:rsidRDefault="003C1329" w:rsidP="003C1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131B95" w:rsidRDefault="00131B95"/>
    <w:sectPr w:rsidR="00131B95" w:rsidSect="0013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C1329"/>
    <w:rsid w:val="00131B95"/>
    <w:rsid w:val="003C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C1329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C13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3332</Words>
  <Characters>18999</Characters>
  <Application>Microsoft Office Word</Application>
  <DocSecurity>0</DocSecurity>
  <Lines>158</Lines>
  <Paragraphs>44</Paragraphs>
  <ScaleCrop>false</ScaleCrop>
  <Company/>
  <LinksUpToDate>false</LinksUpToDate>
  <CharactersWithSpaces>22287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2023-07-18T05:09:00Z</dcterms:created>
  <dcterms:modified xsi:type="dcterms:W3CDTF">2023-07-18T05:09:00Z</dcterms:modified>
</cp:coreProperties>
</file>