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4" w:rsidRPr="00664C0F" w:rsidRDefault="006E13D4" w:rsidP="006E13D4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ЭКОНОМИЧЕСКАЯ БЕЗОПАСНОСТЬ – КЛЮЧЕВОЕ УСЛОВИЕ УСТОЙЧИВОГО РАЗВИТИЯ БЕЛОРУССКОГО ГОСУДАРСТВА</w:t>
      </w:r>
    </w:p>
    <w:p w:rsidR="006E13D4" w:rsidRPr="00664C0F" w:rsidRDefault="006E13D4" w:rsidP="006E13D4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:rsidR="006E13D4" w:rsidRPr="00664C0F" w:rsidRDefault="006E13D4" w:rsidP="006E13D4">
      <w:pPr>
        <w:spacing w:after="0" w:line="226" w:lineRule="auto"/>
        <w:jc w:val="center"/>
        <w:rPr>
          <w:rFonts w:eastAsia="Calibri" w:cs="Times New Roman"/>
          <w:i/>
          <w:sz w:val="22"/>
        </w:rPr>
      </w:pPr>
      <w:r w:rsidRPr="00664C0F">
        <w:rPr>
          <w:rFonts w:cs="Times New Roman"/>
          <w:i/>
          <w:sz w:val="22"/>
        </w:rPr>
        <w:t xml:space="preserve">на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«БелТА» и газеты «СБ. Беларусь сегодня»</w:t>
      </w:r>
    </w:p>
    <w:p w:rsidR="006E13D4" w:rsidRPr="00664C0F" w:rsidRDefault="006E13D4" w:rsidP="006E13D4">
      <w:pPr>
        <w:spacing w:after="0" w:line="226" w:lineRule="auto"/>
        <w:jc w:val="center"/>
        <w:rPr>
          <w:rFonts w:eastAsia="Calibri" w:cs="Times New Roman"/>
          <w:b/>
          <w:sz w:val="26"/>
          <w:szCs w:val="26"/>
        </w:rPr>
      </w:pP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>Президент Республики Беларусь А.Г.Лукашенко</w:t>
      </w:r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А.Г.Лукашенко 10 октября 2023 г. на встрече с губернатором Новосибирской области А.А.Травниковым. 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1. Общие сведения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ценовой и финансовой стабильности;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продовольственной безопасности;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2. Экономический рост и повышение конкурентоспособности белорусской экономики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:rsidR="006E13D4" w:rsidRPr="00664C0F" w:rsidRDefault="006E13D4" w:rsidP="006E13D4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:rsidR="006E13D4" w:rsidRPr="00664C0F" w:rsidRDefault="006E13D4" w:rsidP="006E13D4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:rsidR="006E13D4" w:rsidRPr="00664C0F" w:rsidRDefault="006E13D4" w:rsidP="006E13D4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:rsidR="006E13D4" w:rsidRPr="00664C0F" w:rsidRDefault="006E13D4" w:rsidP="006E13D4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lastRenderedPageBreak/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br/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:rsidR="006E13D4" w:rsidRPr="00D81C7D" w:rsidRDefault="006E13D4" w:rsidP="006E13D4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первичных формах (113,5%), обуви (129,5%), тканей (118,0%), масла сливочного (144,8%), кормов сельскохозяйственных (131,3%) и других товаров.</w:t>
      </w:r>
    </w:p>
    <w:p w:rsidR="006E13D4" w:rsidRPr="00D81C7D" w:rsidRDefault="006E13D4" w:rsidP="006E13D4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«БелЭмса» за 8 месяцев увеличили объемы производства более чем в 2 раза, «Бобруйский комбинат хлебопродуктов» – в 1,3 раза. С темпами от 110 до 134% сработали «Зенит», «Моготекс»,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:rsidR="006E13D4" w:rsidRPr="00664C0F" w:rsidRDefault="006E13D4" w:rsidP="006E13D4">
      <w:pPr>
        <w:shd w:val="clear" w:color="auto" w:fill="FFFFFF" w:themeFill="background1"/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</w:t>
      </w:r>
      <w:r w:rsidRPr="00664C0F">
        <w:rPr>
          <w:rFonts w:eastAsia="Times New Roman" w:cs="Times New Roman"/>
          <w:i/>
          <w:sz w:val="26"/>
          <w:szCs w:val="26"/>
        </w:rPr>
        <w:br/>
        <w:t xml:space="preserve">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:rsidR="006E13D4" w:rsidRPr="00664C0F" w:rsidRDefault="006E13D4" w:rsidP="006E13D4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:rsidR="006E13D4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Pr="00664C0F">
        <w:rPr>
          <w:rFonts w:eastAsia="Times New Roman" w:cs="Times New Roman"/>
          <w:sz w:val="26"/>
          <w:szCs w:val="26"/>
        </w:rPr>
        <w:br/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>. За 8 месяцев т.г.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:rsidR="006E13D4" w:rsidRPr="00664C0F" w:rsidRDefault="006E13D4" w:rsidP="006E13D4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проведение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освоение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>(впервые продемонстрирован 10 июля 2023 г. в г.Екатеринбург на выставке «Иннопром–2023»)</w:t>
      </w:r>
      <w:r w:rsidRPr="00664C0F">
        <w:rPr>
          <w:rFonts w:cs="Times New Roman"/>
          <w:bCs/>
          <w:sz w:val="26"/>
          <w:szCs w:val="26"/>
        </w:rPr>
        <w:t>;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:rsidR="006E13D4" w:rsidRPr="00664C0F" w:rsidRDefault="006E13D4" w:rsidP="006E13D4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:rsidR="006E13D4" w:rsidRPr="00664C0F" w:rsidRDefault="006E13D4" w:rsidP="006E13D4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>реализован инновационный проект по производству технологий, снижающих усадку готовых изделий» на ОАО «Керамин»</w:t>
      </w:r>
      <w:r w:rsidRPr="00664C0F">
        <w:rPr>
          <w:rFonts w:cs="Times New Roman"/>
          <w:bCs/>
          <w:sz w:val="26"/>
          <w:szCs w:val="26"/>
        </w:rPr>
        <w:t>;</w:t>
      </w:r>
    </w:p>
    <w:p w:rsidR="006E13D4" w:rsidRPr="00664C0F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:rsidR="006E13D4" w:rsidRPr="00D81C7D" w:rsidRDefault="006E13D4" w:rsidP="006E13D4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>Примерами развития импортозамещающих и экспортоориентированных производств в Могилевской области являются: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Крупнейшим производителем средств личной гигиены для взрослых и детей в Республике Беларусь ООО «БелЭмса»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«Бобруйскагромаш»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«Бобруйский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:rsidR="006E13D4" w:rsidRPr="00D81C7D" w:rsidRDefault="006E13D4" w:rsidP="006E13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 абсолютному импортозамещению относится реализация </w:t>
      </w:r>
      <w:r w:rsidRPr="00D81C7D">
        <w:rPr>
          <w:rFonts w:eastAsia="Times New Roman" w:cs="Times New Roman"/>
          <w:sz w:val="26"/>
          <w:szCs w:val="26"/>
          <w:lang w:eastAsia="ru-RU"/>
        </w:rPr>
        <w:lastRenderedPageBreak/>
        <w:t>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>(ИООО «Омск Карбон Могилев»). На текущий момент введены в эксплуатацию два технологических потока по производству 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«Технолит» реализуется инвестиционный проект «Организация производства комплектующих для нефтехимического, газотранспортного, льноперерабатывающего оборудования и предприятий точной механики» (сроки реализации: 2022-2024 гг.). Построены и введены в эксплуатацию новые производственные цеха.                                     В рамках проекта произведено и отгружено новой импортозамещающей продукции на сумму порядка 1,5 млн. рублей.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«Ольса»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:rsidR="006E13D4" w:rsidRPr="00D81C7D" w:rsidRDefault="006E13D4" w:rsidP="006E13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«Могилевлифтмаш» до конца года планирует завершить проект по созданию высокотехнологичного производства тяговых двигателей для ОАО «Белкоммунмаш» и двигателей специального исполнения для оборудования нефтехимических, газовых и рудных комплексов.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6E13D4" w:rsidRPr="00664C0F" w:rsidRDefault="006E13D4" w:rsidP="006E13D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переработку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костробрикетов </w:t>
      </w:r>
      <w:r w:rsidRPr="00664C0F">
        <w:rPr>
          <w:rFonts w:cs="Times New Roman"/>
          <w:bCs/>
          <w:i/>
          <w:iCs/>
          <w:sz w:val="26"/>
          <w:szCs w:val="26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«Кореличи-Лен», ОАО «Воложинский льнокомбинат»,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«Слуцкий льнозавод», ОАО «Горкилен»)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6E13D4" w:rsidRPr="00664C0F" w:rsidRDefault="006E13D4" w:rsidP="006E13D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 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6E13D4" w:rsidRPr="00664C0F" w:rsidRDefault="006E13D4" w:rsidP="006E13D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 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lastRenderedPageBreak/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соломо-белкового корма для животных и др.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«МедЛен» и</w:t>
      </w:r>
      <w:r w:rsidRPr="00664C0F">
        <w:rPr>
          <w:rFonts w:cs="Times New Roman"/>
          <w:bCs/>
          <w:iCs/>
          <w:spacing w:val="-4"/>
          <w:sz w:val="26"/>
          <w:szCs w:val="26"/>
        </w:rPr>
        <w:br/>
        <w:t>ООО «Медватфарм» при производстве изделий санитарно-гигиенического назначения.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 xml:space="preserve">ООО «МедЛен»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«Медватфарм» – медицинской ваты, стоматологических валиков, ватных шариков, бинтов, детских подгузников, ватных палочек и дисков.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>. Как следствие – тенденция экономического роста в областях в условиях санкционного давления.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г.Минске до 112,3% в Брестской области, в том числе 112,1% по Могилевской области.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 xml:space="preserve"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</w:t>
      </w:r>
      <w:r w:rsidRPr="00664C0F">
        <w:rPr>
          <w:rFonts w:cs="Times New Roman"/>
          <w:bCs/>
          <w:sz w:val="26"/>
          <w:szCs w:val="26"/>
        </w:rPr>
        <w:lastRenderedPageBreak/>
        <w:t>11,1%. В Могилевской области поступления в бюджет от МСП составили 501,7 млн. руб.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6E13D4" w:rsidRPr="00664C0F" w:rsidRDefault="006E13D4" w:rsidP="006E13D4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>(введение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:rsidR="006E13D4" w:rsidRPr="00664C0F" w:rsidRDefault="006E13D4" w:rsidP="006E13D4">
      <w:pPr>
        <w:suppressAutoHyphens/>
        <w:spacing w:before="120" w:after="0" w:line="280" w:lineRule="exact"/>
        <w:jc w:val="both"/>
        <w:rPr>
          <w:rFonts w:cs="Times New Roman"/>
          <w:b/>
          <w:i/>
          <w:sz w:val="26"/>
          <w:szCs w:val="26"/>
        </w:rPr>
      </w:pPr>
      <w:r w:rsidRPr="00664C0F">
        <w:rPr>
          <w:rFonts w:cs="Times New Roman"/>
          <w:b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Евростат).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БелАЭС), запущены энергоисточники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С момента пуска энергоблока № 1 БелАЭС с 03.11.2020 по 30.09.2023 выработка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Глава государства А.Г.Лукашенко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>11 МВт. Из них самые мощные: Витебская ГЭС (40,0 МВт), Полоцкая ГЭС (21,66 МВт) на р.Западная Двина, Гродненская ГЭС (17 МВт) на р.Неман.</w:t>
      </w:r>
    </w:p>
    <w:p w:rsidR="006E13D4" w:rsidRPr="00664C0F" w:rsidRDefault="006E13D4" w:rsidP="006E13D4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Успешно эксплуатируется Новогрудская ветроэлектрическая станция в районе н.п.Грабники суммарной установленной мощностью 9,0 МВт.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Евростата,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6E13D4" w:rsidRPr="00664C0F" w:rsidRDefault="006E13D4" w:rsidP="006E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:rsidR="006E13D4" w:rsidRPr="00664C0F" w:rsidRDefault="006E13D4" w:rsidP="006E13D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Справочно:</w:t>
      </w:r>
    </w:p>
    <w:p w:rsidR="006E13D4" w:rsidRPr="00664C0F" w:rsidRDefault="006E13D4" w:rsidP="006E13D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:rsidR="006E13D4" w:rsidRPr="00664C0F" w:rsidRDefault="006E13D4" w:rsidP="006E13D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около 17% продукции обеспечивают личные подсобные хозяйства граждан и около 3% – крестьянские (фермерские) хозяйства. </w:t>
      </w:r>
    </w:p>
    <w:p w:rsidR="006E13D4" w:rsidRPr="00664C0F" w:rsidRDefault="006E13D4" w:rsidP="006E13D4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br/>
        <w:t>в среднем по ЕС и мировому сообществу.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самообеспечения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6E13D4" w:rsidRPr="00664C0F" w:rsidRDefault="006E13D4" w:rsidP="006E13D4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Справочно: 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:rsidR="006E13D4" w:rsidRPr="00664C0F" w:rsidRDefault="006E13D4" w:rsidP="006E13D4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:rsidR="006E13D4" w:rsidRPr="00664C0F" w:rsidRDefault="006E13D4" w:rsidP="006E13D4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:rsidR="006E13D4" w:rsidRPr="00664C0F" w:rsidRDefault="006E13D4" w:rsidP="006E13D4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br/>
        <w:t>150,6 тыс., в том числе вклад нашей области составляет 9 тыс. т.</w:t>
      </w:r>
    </w:p>
    <w:p w:rsidR="006E13D4" w:rsidRPr="00664C0F" w:rsidRDefault="006E13D4" w:rsidP="006E13D4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6E13D4" w:rsidRPr="0055796E" w:rsidRDefault="006E13D4" w:rsidP="006E13D4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t>Наша страна осуществляет многовекторную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0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:rsidR="006E13D4" w:rsidRPr="00664C0F" w:rsidRDefault="006E13D4" w:rsidP="006E13D4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:rsidR="006E13D4" w:rsidRPr="00664C0F" w:rsidRDefault="006E13D4" w:rsidP="006E13D4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 w:val="26"/>
          <w:szCs w:val="26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:rsidR="006E13D4" w:rsidRPr="00664C0F" w:rsidRDefault="006E13D4" w:rsidP="006E13D4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664C0F">
        <w:rPr>
          <w:rFonts w:eastAsia="Times New Roman" w:cs="Times New Roman"/>
          <w:sz w:val="26"/>
          <w:szCs w:val="26"/>
        </w:rPr>
        <w:br/>
        <w:t xml:space="preserve">и нарастить. В январе–августе 2023 г. стоимостные объемы поставок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дружественных стран возросли в 1,3 раза по сравнению </w:t>
      </w:r>
      <w:r w:rsidRPr="00664C0F">
        <w:rPr>
          <w:rFonts w:eastAsia="Times New Roman" w:cs="Times New Roman"/>
          <w:sz w:val="26"/>
          <w:szCs w:val="26"/>
        </w:rPr>
        <w:br/>
        <w:t xml:space="preserve">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Доля дружественных стран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br/>
        <w:t>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6" w:name="_Toc91686134"/>
      <w:bookmarkStart w:id="7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664C0F">
        <w:rPr>
          <w:rFonts w:eastAsia="Times New Roman" w:cs="Times New Roman"/>
          <w:sz w:val="26"/>
          <w:szCs w:val="26"/>
        </w:rPr>
        <w:t xml:space="preserve">Экспортные поставки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z w:val="26"/>
          <w:szCs w:val="26"/>
        </w:rPr>
        <w:lastRenderedPageBreak/>
        <w:t>страны СНГ – на 14,8%. Удельный вес стран ЕАЭС в общем объеме экспорта составил 67,2%</w:t>
      </w:r>
      <w:bookmarkStart w:id="8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8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:rsidR="006E13D4" w:rsidRPr="00664C0F" w:rsidRDefault="006E13D4" w:rsidP="006E13D4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:rsidR="006E13D4" w:rsidRPr="00664C0F" w:rsidRDefault="006E13D4" w:rsidP="006E13D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>в 1,2 раза, телевизоров и мониторов – в 3,4 раза.</w:t>
      </w:r>
    </w:p>
    <w:p w:rsidR="006E13D4" w:rsidRPr="00664C0F" w:rsidRDefault="006E13D4" w:rsidP="006E13D4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6E13D4" w:rsidRPr="00664C0F" w:rsidRDefault="006E13D4" w:rsidP="006E13D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6E13D4" w:rsidRPr="00664C0F" w:rsidRDefault="006E13D4" w:rsidP="006E13D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:rsidR="006E13D4" w:rsidRPr="00664C0F" w:rsidRDefault="006E13D4" w:rsidP="006E13D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Pr="00664C0F">
        <w:rPr>
          <w:rFonts w:eastAsia="Times New Roman" w:cs="Times New Roman"/>
          <w:spacing w:val="-4"/>
          <w:sz w:val="26"/>
          <w:szCs w:val="26"/>
        </w:rPr>
        <w:br/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:rsidR="006E13D4" w:rsidRPr="00664C0F" w:rsidRDefault="006E13D4" w:rsidP="006E13D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1"/>
    <w:bookmarkEnd w:id="2"/>
    <w:bookmarkEnd w:id="3"/>
    <w:bookmarkEnd w:id="4"/>
    <w:bookmarkEnd w:id="5"/>
    <w:p w:rsidR="006E13D4" w:rsidRPr="00664C0F" w:rsidRDefault="006E13D4" w:rsidP="006E13D4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6E13D4" w:rsidRPr="00664C0F" w:rsidRDefault="006E13D4" w:rsidP="006E13D4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6E13D4" w:rsidRPr="00664C0F" w:rsidRDefault="006E13D4" w:rsidP="006E13D4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:rsidR="006E13D4" w:rsidRPr="00664C0F" w:rsidRDefault="006E13D4" w:rsidP="006E13D4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lastRenderedPageBreak/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:rsidR="006E13D4" w:rsidRPr="00664C0F" w:rsidRDefault="006E13D4" w:rsidP="006E13D4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0"/>
    <w:p w:rsidR="006E13D4" w:rsidRPr="00664C0F" w:rsidRDefault="006E13D4" w:rsidP="006E13D4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6E13D4" w:rsidRPr="00664C0F" w:rsidRDefault="006E13D4" w:rsidP="006E13D4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сентябре 2023 г. популярная немецкая газета Die Welt опубликовала следующие результаты опроса социологической службы YouGov: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На фоне инфляции 33% немцев вынуждены покупать меньше свежих продуктов и делать выбор в пользу консервов.</w:t>
      </w:r>
    </w:p>
    <w:p w:rsidR="006E13D4" w:rsidRPr="00664C0F" w:rsidRDefault="006E13D4" w:rsidP="006E13D4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мнению экспертов Института экономических и социальных наук (WSI) Фонда Ханса Бёклера,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госинститутам».</w:t>
      </w:r>
    </w:p>
    <w:p w:rsidR="006E13D4" w:rsidRPr="00664C0F" w:rsidRDefault="006E13D4" w:rsidP="006E13D4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Pr="00664C0F">
        <w:rPr>
          <w:rFonts w:cs="Times New Roman"/>
          <w:bCs/>
          <w:sz w:val="26"/>
          <w:szCs w:val="26"/>
        </w:rPr>
        <w:br/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валовой внутренний продукт – прирост на 3,8%;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реальные располагаемые денежные доходы населения, в процентах к 2023 году – рост на 3,5%;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инвестиции в основной капитал, в процентах к 2023 году </w:t>
      </w:r>
      <w:r w:rsidRPr="00664C0F">
        <w:rPr>
          <w:rFonts w:cs="Times New Roman"/>
          <w:bCs/>
          <w:sz w:val="26"/>
          <w:szCs w:val="26"/>
        </w:rPr>
        <w:br/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r w:rsidRPr="00664C0F">
        <w:rPr>
          <w:rFonts w:cs="Times New Roman"/>
          <w:bCs/>
          <w:spacing w:val="-8"/>
          <w:sz w:val="26"/>
          <w:szCs w:val="26"/>
        </w:rPr>
        <w:t>экспорт товаров и услуг, в процентах к 2023 году – увеличение на 7,6%.</w:t>
      </w:r>
    </w:p>
    <w:p w:rsidR="006E13D4" w:rsidRPr="00664C0F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Белорусский лидер </w:t>
      </w:r>
      <w:r w:rsidRPr="00664C0F">
        <w:rPr>
          <w:rFonts w:cs="Times New Roman"/>
          <w:b/>
          <w:bCs/>
          <w:sz w:val="26"/>
          <w:szCs w:val="26"/>
        </w:rPr>
        <w:t>А.Г.Лукашенко</w:t>
      </w:r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А.А.Здуновым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p w:rsidR="006E13D4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6E13D4" w:rsidRDefault="006E13D4" w:rsidP="006E13D4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A14D87" w:rsidRDefault="00A14D87"/>
    <w:sectPr w:rsidR="00A14D87" w:rsidSect="00A1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3D4"/>
    <w:rsid w:val="006E13D4"/>
    <w:rsid w:val="00A1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D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5775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2023-11-14T14:14:00Z</dcterms:created>
  <dcterms:modified xsi:type="dcterms:W3CDTF">2023-11-14T14:14:00Z</dcterms:modified>
</cp:coreProperties>
</file>