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DD" w:rsidRPr="0070777B" w:rsidRDefault="002F4DDD" w:rsidP="002F4DDD">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t>Основные изменения, внесенные в Налоговый кодекс Республики Беларусь с 1 января 2024 года</w:t>
      </w:r>
    </w:p>
    <w:p w:rsidR="002F4DDD" w:rsidRPr="0070777B" w:rsidRDefault="002F4DDD" w:rsidP="002F4DDD">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 Республики Беларусь</w:t>
      </w:r>
    </w:p>
    <w:p w:rsidR="002F4DDD" w:rsidRPr="0070777B" w:rsidRDefault="002F4DDD" w:rsidP="002F4DDD">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2F4DDD" w:rsidRPr="0070777B" w:rsidRDefault="002F4DDD" w:rsidP="002F4DDD">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2F4DDD" w:rsidRPr="0070777B" w:rsidRDefault="002F4DDD" w:rsidP="002F4DDD">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2F4DDD" w:rsidRPr="0070777B" w:rsidRDefault="002F4DDD" w:rsidP="002F4DDD">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2F4DDD" w:rsidRPr="0070777B" w:rsidRDefault="002F4DDD" w:rsidP="002F4DDD">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2F4DDD" w:rsidRPr="0070777B" w:rsidRDefault="002F4DDD" w:rsidP="002F4DDD">
      <w:pPr>
        <w:tabs>
          <w:tab w:val="left" w:pos="0"/>
        </w:tabs>
        <w:spacing w:after="0" w:line="240" w:lineRule="auto"/>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2F4DDD" w:rsidRPr="0070777B" w:rsidRDefault="002F4DDD" w:rsidP="002F4DDD">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2F4DDD" w:rsidRPr="0070777B" w:rsidRDefault="002F4DDD" w:rsidP="002F4DDD">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2F4DDD" w:rsidRPr="0070777B" w:rsidRDefault="002F4DDD" w:rsidP="002F4DDD">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2F4DDD" w:rsidRPr="0070777B" w:rsidRDefault="002F4DDD" w:rsidP="002F4DDD">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w:t>
      </w:r>
      <w:r w:rsidRPr="0070777B">
        <w:rPr>
          <w:rStyle w:val="word-wrapper"/>
          <w:rFonts w:cs="Times New Roman"/>
          <w:szCs w:val="28"/>
          <w:bdr w:val="none" w:sz="0" w:space="0" w:color="auto" w:frame="1"/>
        </w:rPr>
        <w:lastRenderedPageBreak/>
        <w:t xml:space="preserve">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2F4DDD" w:rsidRPr="0070777B" w:rsidRDefault="002F4DDD" w:rsidP="002F4DDD">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Кроме того, налоговые органы активно развивают сервисную составляющую электронного обмена информацией, в том числе расширяется сфера применения префайлинга налоговых деклараций (предварительное заполнение налоговых деклараций плательщика, исходя из данных, имеющихся в налоговых органах).</w:t>
      </w:r>
    </w:p>
    <w:p w:rsidR="002F4DDD" w:rsidRPr="0070777B" w:rsidRDefault="002F4DDD" w:rsidP="002F4DDD">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2F4DDD" w:rsidRPr="0070777B" w:rsidRDefault="002F4DDD" w:rsidP="002F4DDD">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2F4DDD" w:rsidRPr="0070777B" w:rsidRDefault="002F4DDD" w:rsidP="002F4DDD">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2F4DDD" w:rsidRPr="0070777B" w:rsidRDefault="002F4DDD" w:rsidP="002F4DDD">
      <w:pPr>
        <w:pStyle w:val="a4"/>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тысяч белорусских рублей, не вправе заниматься предпринимательской деятельностью без образования юридического лица начиная с 1 января </w:t>
      </w:r>
      <w:r w:rsidRPr="0070777B">
        <w:rPr>
          <w:rFonts w:cs="Times New Roman"/>
          <w:szCs w:val="28"/>
        </w:rPr>
        <w:lastRenderedPageBreak/>
        <w:t>календарного года, следующего за календарным годом, в котором образовалось такое превышение.</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Предпринимательская деятельность, осуществляемая гражданином с нарушением вышеуказанных требований, является незаконной.</w:t>
      </w:r>
    </w:p>
    <w:p w:rsidR="002F4DDD" w:rsidRPr="0070777B" w:rsidRDefault="002F4DDD" w:rsidP="002F4DDD">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2F4DDD" w:rsidRPr="0070777B" w:rsidRDefault="002F4DDD" w:rsidP="002F4DDD">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2F4DDD" w:rsidRPr="0070777B" w:rsidRDefault="002F4DDD" w:rsidP="002F4DDD">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2F4DDD" w:rsidRPr="0070777B" w:rsidRDefault="002F4DDD" w:rsidP="002F4DDD">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2F4DDD" w:rsidRPr="0070777B" w:rsidRDefault="002F4DDD" w:rsidP="002F4DDD">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2F4DDD" w:rsidRPr="0070777B" w:rsidRDefault="002F4DDD" w:rsidP="002F4DDD">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2F4DDD" w:rsidRPr="0070777B" w:rsidRDefault="002F4DDD" w:rsidP="002F4DDD">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w:t>
      </w:r>
      <w:r w:rsidRPr="0070777B">
        <w:rPr>
          <w:rFonts w:ascii="Times New Roman" w:hAnsi="Times New Roman" w:cs="Times New Roman"/>
          <w:sz w:val="28"/>
          <w:szCs w:val="28"/>
        </w:rPr>
        <w:lastRenderedPageBreak/>
        <w:t>налог, исключены нетабачные никотиносодержащие изделия, электронные системы курения и жидкости для электронных систем курения.</w:t>
      </w:r>
    </w:p>
    <w:p w:rsidR="002F4DDD" w:rsidRPr="0070777B" w:rsidRDefault="002F4DDD" w:rsidP="002F4DDD">
      <w:pPr>
        <w:tabs>
          <w:tab w:val="left" w:pos="0"/>
        </w:tabs>
        <w:spacing w:after="0" w:line="240" w:lineRule="auto"/>
        <w:jc w:val="center"/>
        <w:rPr>
          <w:rFonts w:cs="Times New Roman"/>
          <w:b/>
          <w:iCs/>
          <w:szCs w:val="28"/>
        </w:rPr>
      </w:pPr>
      <w:r w:rsidRPr="0070777B">
        <w:rPr>
          <w:rFonts w:cs="Times New Roman"/>
          <w:b/>
          <w:iCs/>
          <w:szCs w:val="28"/>
        </w:rPr>
        <w:t>Изменения в части налогообложения физических лиц</w:t>
      </w:r>
    </w:p>
    <w:p w:rsidR="002F4DDD" w:rsidRPr="0070777B" w:rsidRDefault="002F4DDD" w:rsidP="002F4DDD">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2F4DDD" w:rsidRPr="0070777B" w:rsidRDefault="002F4DDD" w:rsidP="002F4DDD">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2F4DDD" w:rsidRPr="0070777B" w:rsidRDefault="002F4DDD" w:rsidP="002F4DDD">
      <w:pPr>
        <w:pStyle w:val="a4"/>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2F4DDD" w:rsidRPr="0070777B" w:rsidRDefault="002F4DDD" w:rsidP="002F4DDD">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2F4DDD" w:rsidRPr="0070777B" w:rsidRDefault="002F4DDD" w:rsidP="002F4DDD">
      <w:pPr>
        <w:pStyle w:val="Arial0"/>
        <w:tabs>
          <w:tab w:val="left" w:pos="0"/>
        </w:tabs>
        <w:ind w:firstLine="567"/>
        <w:rPr>
          <w:rFonts w:ascii="Times New Roman" w:hAnsi="Times New Roman"/>
          <w:b w:val="0"/>
          <w:bCs/>
          <w:i/>
          <w:iCs/>
          <w:sz w:val="28"/>
          <w:szCs w:val="28"/>
        </w:rPr>
      </w:pPr>
      <w:r w:rsidRPr="0070777B">
        <w:rPr>
          <w:rFonts w:ascii="Times New Roman" w:hAnsi="Times New Roman"/>
          <w:i/>
          <w:iCs/>
          <w:sz w:val="28"/>
          <w:szCs w:val="28"/>
        </w:rPr>
        <w:t xml:space="preserve">Справочно: </w:t>
      </w:r>
      <w:r w:rsidRPr="0070777B">
        <w:rPr>
          <w:rFonts w:ascii="Times New Roman" w:hAnsi="Times New Roman"/>
          <w:b w:val="0"/>
          <w:bCs/>
          <w:i/>
          <w:iCs/>
          <w:sz w:val="28"/>
          <w:szCs w:val="28"/>
        </w:rPr>
        <w:t>до 01.01.2024 срок вручения извещений – не позднее 1 сентября.</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машино-местам (далее — иные здания, сооружения).</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2F4DDD" w:rsidRPr="0070777B" w:rsidRDefault="002F4DDD" w:rsidP="002F4DDD">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В отношении жилых домов, квартир, садовых и дачных домиков, гаражей, машино-мест порядок определения расчетной стоимости не изменился.</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2F4DDD" w:rsidRPr="0070777B" w:rsidRDefault="002F4DDD" w:rsidP="002F4DDD">
      <w:pPr>
        <w:pStyle w:val="a4"/>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2F4DDD" w:rsidRPr="0070777B" w:rsidRDefault="002F4DDD" w:rsidP="002F4DDD">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2F4DDD" w:rsidRPr="0070777B" w:rsidRDefault="002F4DDD" w:rsidP="002F4DDD">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2F4DDD" w:rsidRPr="0070777B" w:rsidRDefault="002F4DDD" w:rsidP="002F4DDD">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2F4DDD" w:rsidRPr="0070777B" w:rsidRDefault="002F4DDD" w:rsidP="002F4DDD">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2F4DDD" w:rsidRPr="0070777B" w:rsidRDefault="002F4DDD" w:rsidP="002F4DDD">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2F4DDD" w:rsidRPr="0070777B" w:rsidRDefault="002F4DDD" w:rsidP="002F4DDD">
      <w:pPr>
        <w:pStyle w:val="Arial"/>
        <w:tabs>
          <w:tab w:val="left" w:pos="0"/>
          <w:tab w:val="left" w:pos="567"/>
          <w:tab w:val="left" w:pos="709"/>
        </w:tabs>
        <w:ind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w:t>
      </w:r>
      <w:r w:rsidRPr="0070777B">
        <w:rPr>
          <w:rFonts w:ascii="Times New Roman" w:hAnsi="Times New Roman" w:cs="Times New Roman"/>
          <w:sz w:val="28"/>
          <w:szCs w:val="28"/>
        </w:rPr>
        <w:lastRenderedPageBreak/>
        <w:t xml:space="preserve">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2F4DDD" w:rsidRPr="0070777B" w:rsidRDefault="002F4DDD" w:rsidP="002F4DDD">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2F4DDD" w:rsidRPr="0070777B" w:rsidRDefault="002F4DDD" w:rsidP="002F4DDD">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2F4DDD" w:rsidRPr="0070777B" w:rsidRDefault="002F4DDD" w:rsidP="002F4DDD">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введен дополнительный стандартный налоговый вычет для молодых специалистов, молодых рабочих (служащих).</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1" w:name="_Hlk143165358"/>
      <w:bookmarkEnd w:id="0"/>
      <w:r w:rsidRPr="0070777B">
        <w:rPr>
          <w:rFonts w:ascii="Times New Roman" w:hAnsi="Times New Roman" w:cs="Times New Roman"/>
          <w:sz w:val="28"/>
          <w:szCs w:val="28"/>
        </w:rPr>
        <w:t>предоставляется:</w:t>
      </w:r>
    </w:p>
    <w:bookmarkEnd w:id="1"/>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w:t>
      </w:r>
      <w:r w:rsidRPr="0070777B">
        <w:rPr>
          <w:rFonts w:ascii="Times New Roman" w:hAnsi="Times New Roman" w:cs="Times New Roman"/>
          <w:sz w:val="28"/>
          <w:szCs w:val="28"/>
        </w:rPr>
        <w:lastRenderedPageBreak/>
        <w:t>образование по специальностям для воинских формирований и военизированных организаций.</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w:t>
      </w:r>
      <w:r w:rsidRPr="0070777B">
        <w:rPr>
          <w:rFonts w:ascii="Times New Roman" w:hAnsi="Times New Roman" w:cs="Times New Roman"/>
          <w:sz w:val="28"/>
          <w:szCs w:val="28"/>
        </w:rPr>
        <w:lastRenderedPageBreak/>
        <w:t>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2F4DDD" w:rsidRPr="0070777B" w:rsidRDefault="002F4DDD" w:rsidP="002F4DDD">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2F4DDD" w:rsidRPr="0070777B" w:rsidRDefault="002F4DDD" w:rsidP="002F4DDD">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2F4DDD" w:rsidRPr="0070777B" w:rsidRDefault="002F4DDD" w:rsidP="002F4DDD">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2F4DDD" w:rsidRPr="0070777B" w:rsidRDefault="002F4DDD" w:rsidP="002F4DDD">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Сбор за осуществление ремесленной деятельности, сбор за осуществление деятельности по оказанию услуг в сфере агроэкотуризма</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ставка сбора 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каждую агроусадьбу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по сроку 3 января 2024 г. производится за каждую агроусадьбу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2F4DDD" w:rsidRPr="0070777B" w:rsidRDefault="002F4DDD" w:rsidP="002F4DDD">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2F4DDD" w:rsidRPr="0070777B" w:rsidRDefault="002F4DDD" w:rsidP="002F4DDD">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2F4DDD" w:rsidRPr="0070777B" w:rsidRDefault="002F4DDD" w:rsidP="002F4DDD">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2F4DDD" w:rsidRPr="0070777B" w:rsidRDefault="002F4DDD" w:rsidP="002F4DDD">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2F4DDD" w:rsidRPr="0070777B" w:rsidRDefault="002F4DDD" w:rsidP="002F4DDD">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2F4DDD" w:rsidRPr="0070777B" w:rsidRDefault="002F4DDD" w:rsidP="002F4DDD">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2F4DDD" w:rsidRPr="0070777B" w:rsidRDefault="002F4DDD" w:rsidP="002F4DDD">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Акцизы</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2F4DDD" w:rsidRPr="0070777B" w:rsidRDefault="002F4DDD" w:rsidP="002F4DDD">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t xml:space="preserve">Товар «Нетабачные никотиносодержащие смеси для кальяна» выделен из группы товаров «Нетабачные никотиносодержащие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w:t>
      </w:r>
      <w:r w:rsidRPr="0070777B">
        <w:rPr>
          <w:rFonts w:cs="Times New Roman"/>
          <w:bCs/>
          <w:szCs w:val="28"/>
        </w:rPr>
        <w:lastRenderedPageBreak/>
        <w:t>акцизов для нетабачных никотиносодержащих смесей для кальяна было экономически нецелесообразно.</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2F4DDD" w:rsidRPr="0070777B" w:rsidRDefault="002F4DDD" w:rsidP="002F4DDD">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2F4DDD" w:rsidRPr="0070777B" w:rsidRDefault="002F4DDD" w:rsidP="002F4DDD">
      <w:pPr>
        <w:widowControl w:val="0"/>
        <w:tabs>
          <w:tab w:val="left" w:pos="0"/>
        </w:tabs>
        <w:spacing w:after="0" w:line="240" w:lineRule="auto"/>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2F4DDD" w:rsidRPr="0070777B" w:rsidRDefault="002F4DDD" w:rsidP="002F4DDD">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2F4DDD" w:rsidRPr="0070777B" w:rsidRDefault="002F4DDD" w:rsidP="002F4DDD">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2F4DDD" w:rsidRPr="0070777B" w:rsidRDefault="002F4DDD" w:rsidP="002F4DDD">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2F4DDD" w:rsidRPr="0070777B" w:rsidRDefault="002F4DDD" w:rsidP="002F4DDD">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2F4DDD" w:rsidRPr="0070777B" w:rsidRDefault="002F4DDD" w:rsidP="002F4DDD">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2F4DDD" w:rsidRPr="0070777B" w:rsidRDefault="002F4DDD" w:rsidP="002F4DD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w:t>
      </w:r>
      <w:r w:rsidRPr="0070777B">
        <w:rPr>
          <w:rFonts w:ascii="Times New Roman" w:hAnsi="Times New Roman" w:cs="Times New Roman"/>
          <w:sz w:val="28"/>
          <w:szCs w:val="28"/>
        </w:rPr>
        <w:lastRenderedPageBreak/>
        <w:t>восстанавливать инвестиционный вычет при использовании легковых автомобилей для оказания таких услуг.</w:t>
      </w:r>
    </w:p>
    <w:p w:rsidR="002F4DDD" w:rsidRPr="0070777B" w:rsidRDefault="002F4DDD" w:rsidP="002F4DDD">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2F4DDD" w:rsidRPr="0070777B" w:rsidRDefault="002F4DDD" w:rsidP="002F4DDD">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2F4DDD" w:rsidRPr="0070777B" w:rsidRDefault="002F4DDD" w:rsidP="002F4DDD">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2F4DDD" w:rsidRPr="0070777B" w:rsidRDefault="002F4DDD" w:rsidP="002F4DDD">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2F4DDD" w:rsidRPr="0070777B" w:rsidRDefault="002F4DDD" w:rsidP="002F4DDD">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2F4DDD" w:rsidRPr="0070777B" w:rsidRDefault="002F4DDD" w:rsidP="002F4DDD">
      <w:pPr>
        <w:tabs>
          <w:tab w:val="left" w:pos="0"/>
        </w:tabs>
        <w:spacing w:after="0" w:line="240" w:lineRule="auto"/>
        <w:ind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2F4DDD" w:rsidRPr="0070777B" w:rsidRDefault="002F4DDD" w:rsidP="002F4DDD">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 налог</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p>
    <w:p w:rsidR="002F4DDD" w:rsidRPr="0070777B" w:rsidRDefault="002F4DDD" w:rsidP="002F4DDD">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2F4DDD" w:rsidRPr="0070777B" w:rsidRDefault="002F4DDD" w:rsidP="002F4DDD">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p>
    <w:p w:rsidR="002F4DDD" w:rsidRPr="0070777B" w:rsidRDefault="002F4DDD" w:rsidP="002F4DDD">
      <w:pPr>
        <w:tabs>
          <w:tab w:val="left" w:pos="0"/>
        </w:tabs>
        <w:spacing w:after="0" w:line="240" w:lineRule="auto"/>
        <w:ind w:firstLine="567"/>
        <w:jc w:val="both"/>
        <w:rPr>
          <w:rFonts w:eastAsia="Calibri" w:cs="Times New Roman"/>
          <w:iCs/>
          <w:szCs w:val="28"/>
        </w:rPr>
      </w:pPr>
      <w:r w:rsidRPr="0070777B">
        <w:rPr>
          <w:rFonts w:cs="Times New Roman"/>
          <w:szCs w:val="28"/>
        </w:rPr>
        <w:t xml:space="preserve">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аккуммулировании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w:t>
      </w:r>
      <w:r w:rsidRPr="0070777B">
        <w:rPr>
          <w:rFonts w:cs="Times New Roman"/>
          <w:szCs w:val="28"/>
        </w:rPr>
        <w:lastRenderedPageBreak/>
        <w:t>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2F4DDD" w:rsidRPr="0070777B" w:rsidRDefault="002F4DDD" w:rsidP="002F4DDD">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 (УСН)</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при наличии у них сертификата соответствия, выданного на оказание услуг гостиниц. Это позволит выровнять условия применения УСН организациями, оказывающими услуги гостиниц, независимо от классификации их деятельности и места ее осуществления.</w:t>
      </w:r>
    </w:p>
    <w:p w:rsidR="002F4DDD" w:rsidRPr="0070777B" w:rsidRDefault="002F4DDD" w:rsidP="002F4DDD">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2F4DDD" w:rsidRPr="0070777B" w:rsidRDefault="002F4DDD" w:rsidP="002F4DDD">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2F4DDD" w:rsidRPr="0070777B" w:rsidRDefault="002F4DDD" w:rsidP="002F4DDD">
      <w:pPr>
        <w:widowControl w:val="0"/>
        <w:tabs>
          <w:tab w:val="left" w:pos="0"/>
        </w:tabs>
        <w:spacing w:after="0" w:line="240" w:lineRule="auto"/>
        <w:ind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2F4DDD" w:rsidRPr="0070777B" w:rsidRDefault="002F4DDD" w:rsidP="002F4DDD">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2F4DDD" w:rsidRPr="0070777B" w:rsidRDefault="002F4DDD" w:rsidP="002F4DDD">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2F4DDD" w:rsidRPr="0070777B" w:rsidRDefault="002F4DDD" w:rsidP="002F4DDD">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2F4DDD" w:rsidRPr="0070777B" w:rsidRDefault="002F4DDD" w:rsidP="002F4DDD">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2F4DDD" w:rsidRPr="0070777B" w:rsidRDefault="002F4DDD" w:rsidP="002F4DDD">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2F4DDD" w:rsidRPr="0070777B" w:rsidRDefault="002F4DDD" w:rsidP="002F4DDD">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2F4DDD" w:rsidRPr="0070777B" w:rsidRDefault="002F4DDD" w:rsidP="002F4DDD">
      <w:pPr>
        <w:tabs>
          <w:tab w:val="left" w:pos="0"/>
        </w:tabs>
        <w:spacing w:after="0" w:line="240" w:lineRule="auto"/>
        <w:ind w:firstLine="567"/>
        <w:jc w:val="both"/>
        <w:rPr>
          <w:rFonts w:eastAsia="Calibri" w:cs="Times New Roman"/>
          <w:szCs w:val="28"/>
        </w:rPr>
      </w:pPr>
      <w:r w:rsidRPr="0070777B">
        <w:rPr>
          <w:rFonts w:eastAsia="Calibri" w:cs="Times New Roman"/>
          <w:szCs w:val="28"/>
        </w:rPr>
        <w:t>С 2024 года в случае, когда лизингополучатель заключает договор сублизинга и передает транспортное средство сублизингополучателю, Плательщиком транспортного налога является сублизингополучатель.</w:t>
      </w:r>
    </w:p>
    <w:p w:rsidR="002F4DDD" w:rsidRPr="0070777B" w:rsidRDefault="002F4DDD" w:rsidP="002F4DDD">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lastRenderedPageBreak/>
        <w:t>В 2023 году в таких ситуациях плательщиком транспортного налога признается лизингополучатель.</w:t>
      </w:r>
    </w:p>
    <w:p w:rsidR="002F4DDD" w:rsidRPr="0070777B" w:rsidRDefault="002F4DDD" w:rsidP="002F4DDD">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2F4DDD" w:rsidRPr="0070777B" w:rsidRDefault="002F4DDD" w:rsidP="002F4DDD">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в отношении транспортного налога с организаций будет применяться префайлинг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8E6D68" w:rsidRDefault="008E6D68"/>
    <w:sectPr w:rsidR="008E6D68" w:rsidSect="008E6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DDD"/>
    <w:rsid w:val="002F4DDD"/>
    <w:rsid w:val="008E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4DDD"/>
    <w:pPr>
      <w:spacing w:after="160" w:line="259" w:lineRule="auto"/>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F4DDD"/>
    <w:pPr>
      <w:ind w:left="720"/>
      <w:contextualSpacing/>
    </w:pPr>
  </w:style>
  <w:style w:type="paragraph" w:customStyle="1" w:styleId="newncpi">
    <w:name w:val="newncpi"/>
    <w:basedOn w:val="a0"/>
    <w:rsid w:val="002F4DDD"/>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2F4DDD"/>
  </w:style>
  <w:style w:type="paragraph" w:customStyle="1" w:styleId="il-text-alignleft">
    <w:name w:val="il-text-align_left"/>
    <w:basedOn w:val="a0"/>
    <w:rsid w:val="002F4DDD"/>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2F4DDD"/>
  </w:style>
  <w:style w:type="paragraph" w:customStyle="1" w:styleId="il-text-alignjustify">
    <w:name w:val="il-text-align_justify"/>
    <w:basedOn w:val="a0"/>
    <w:rsid w:val="002F4DDD"/>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2F4DDD"/>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2F4DDD"/>
    <w:pPr>
      <w:spacing w:after="0" w:line="240" w:lineRule="auto"/>
      <w:jc w:val="both"/>
    </w:pPr>
    <w:rPr>
      <w:rFonts w:ascii="Arial" w:eastAsia="Calibri" w:hAnsi="Arial" w:cs="Times New Roman"/>
      <w:b/>
      <w:sz w:val="21"/>
    </w:rPr>
  </w:style>
  <w:style w:type="paragraph" w:customStyle="1" w:styleId="a">
    <w:name w:val="Подсписок"/>
    <w:qFormat/>
    <w:rsid w:val="002F4DDD"/>
    <w:pPr>
      <w:numPr>
        <w:numId w:val="1"/>
      </w:numPr>
      <w:spacing w:after="0" w:line="240" w:lineRule="auto"/>
      <w:ind w:left="284" w:firstLine="284"/>
      <w:jc w:val="both"/>
    </w:pPr>
    <w:rPr>
      <w:rFonts w:ascii="Arial" w:eastAsia="Calibri"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4725</Words>
  <Characters>26938</Characters>
  <Application>Microsoft Office Word</Application>
  <DocSecurity>0</DocSecurity>
  <Lines>224</Lines>
  <Paragraphs>63</Paragraphs>
  <ScaleCrop>false</ScaleCrop>
  <Company/>
  <LinksUpToDate>false</LinksUpToDate>
  <CharactersWithSpaces>31600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2024-02-13T06:00:00Z</dcterms:created>
  <dcterms:modified xsi:type="dcterms:W3CDTF">2024-02-13T06:00:00Z</dcterms:modified>
</cp:coreProperties>
</file>