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CA" w:rsidRDefault="007811CA">
      <w:pPr>
        <w:shd w:val="clear" w:color="auto" w:fill="FFFFFF"/>
        <w:spacing w:after="0" w:line="240" w:lineRule="auto"/>
        <w:outlineLvl w:val="0"/>
        <w:rPr>
          <w:rFonts w:ascii="inherit" w:eastAsia="Times New Roman" w:hAnsi="inherit" w:cs="Arial"/>
          <w:b/>
          <w:bCs/>
          <w:caps/>
          <w:color w:val="000E2A"/>
          <w:kern w:val="36"/>
          <w:sz w:val="36"/>
          <w:szCs w:val="36"/>
          <w:lang w:val="en-US" w:eastAsia="ru-RU"/>
        </w:rPr>
      </w:pPr>
    </w:p>
    <w:p w:rsidR="007811CA" w:rsidRDefault="007811CA">
      <w:pPr>
        <w:shd w:val="clear" w:color="auto" w:fill="FFFFFF"/>
        <w:spacing w:after="0" w:line="240" w:lineRule="auto"/>
        <w:outlineLvl w:val="0"/>
        <w:rPr>
          <w:rFonts w:ascii="inherit" w:eastAsia="Times New Roman" w:hAnsi="inherit" w:cs="Arial"/>
          <w:b/>
          <w:bCs/>
          <w:caps/>
          <w:color w:val="000E2A"/>
          <w:kern w:val="36"/>
          <w:sz w:val="36"/>
          <w:szCs w:val="36"/>
          <w:lang w:val="en-US" w:eastAsia="ru-RU"/>
        </w:rPr>
      </w:pPr>
    </w:p>
    <w:p w:rsidR="007811CA" w:rsidRDefault="00C13E2E">
      <w:pPr>
        <w:shd w:val="clear" w:color="auto" w:fill="FFFFFF"/>
        <w:spacing w:after="0" w:line="240" w:lineRule="auto"/>
        <w:outlineLvl w:val="0"/>
        <w:rPr>
          <w:rFonts w:ascii="inherit" w:eastAsia="Times New Roman" w:hAnsi="inherit" w:cs="Arial"/>
          <w:b/>
          <w:bCs/>
          <w:caps/>
          <w:color w:val="000E2A"/>
          <w:kern w:val="36"/>
          <w:sz w:val="36"/>
          <w:szCs w:val="36"/>
          <w:lang w:eastAsia="ru-RU"/>
        </w:rPr>
      </w:pPr>
      <w:r>
        <w:rPr>
          <w:rFonts w:ascii="inherit" w:eastAsia="Times New Roman" w:hAnsi="inherit" w:cs="Arial"/>
          <w:b/>
          <w:bCs/>
          <w:caps/>
          <w:color w:val="000E2A"/>
          <w:kern w:val="36"/>
          <w:sz w:val="36"/>
          <w:szCs w:val="36"/>
          <w:lang w:eastAsia="ru-RU"/>
        </w:rPr>
        <w:t>ОСОБЕННОСТИ ОФОРМЛЕНИЯ ТРУДОВЫХ ОТНОШЕНИЙ С НЕСОВЕРШЕННОЛЕТНИМИ</w:t>
      </w:r>
    </w:p>
    <w:p w:rsidR="0001177C" w:rsidRDefault="0001177C">
      <w:pPr>
        <w:spacing w:after="150" w:line="240" w:lineRule="auto"/>
        <w:ind w:firstLine="600"/>
        <w:jc w:val="both"/>
        <w:rPr>
          <w:rFonts w:ascii="Arial" w:eastAsia="Times New Roman" w:hAnsi="Arial" w:cs="Arial"/>
          <w:color w:val="333333"/>
          <w:sz w:val="21"/>
          <w:szCs w:val="21"/>
          <w:lang w:eastAsia="ru-RU"/>
        </w:rPr>
      </w:pPr>
    </w:p>
    <w:p w:rsidR="007811CA" w:rsidRDefault="00C13E2E">
      <w:pPr>
        <w:spacing w:after="150" w:line="240" w:lineRule="auto"/>
        <w:ind w:firstLine="600"/>
        <w:jc w:val="both"/>
        <w:rPr>
          <w:rFonts w:ascii="Arial" w:eastAsia="Times New Roman" w:hAnsi="Arial" w:cs="Arial"/>
          <w:color w:val="333333"/>
          <w:sz w:val="21"/>
          <w:szCs w:val="21"/>
          <w:lang w:eastAsia="ru-RU"/>
        </w:rPr>
      </w:pPr>
      <w:bookmarkStart w:id="0" w:name="_GoBack"/>
      <w:bookmarkEnd w:id="0"/>
      <w:r>
        <w:rPr>
          <w:rFonts w:ascii="Arial" w:eastAsia="Times New Roman" w:hAnsi="Arial" w:cs="Arial"/>
          <w:color w:val="333333"/>
          <w:sz w:val="21"/>
          <w:szCs w:val="21"/>
          <w:lang w:eastAsia="ru-RU"/>
        </w:rPr>
        <w:t>В летний и каникулярный период некоторые школьники могут совмещать отдых с трудовой деятельностью. Однако вопросы, связанные с трудоустройством несовершеннолетних и оплатой их труда, имеют свои особенности.</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Трудовым кодексом Республики Беларусь (далее - ТК), иными актами законодательства, коллективными договорами, соглашениями (статья 273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 соответствии с нормами статей 21 и 272 ТК заключение трудового договора допускается с лицами, достигшими шестнадцати лет.</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Трудовой договор может быть заключен с лицом, достигшим четырнадцати лет, только с письменного согласия одного из родителей (усыновителей (</w:t>
      </w:r>
      <w:proofErr w:type="spellStart"/>
      <w:r>
        <w:rPr>
          <w:rFonts w:ascii="Arial" w:eastAsia="Times New Roman" w:hAnsi="Arial" w:cs="Arial"/>
          <w:color w:val="333333"/>
          <w:sz w:val="21"/>
          <w:szCs w:val="21"/>
          <w:lang w:eastAsia="ru-RU"/>
        </w:rPr>
        <w:t>удочерителей</w:t>
      </w:r>
      <w:proofErr w:type="spellEnd"/>
      <w:r>
        <w:rPr>
          <w:rFonts w:ascii="Arial" w:eastAsia="Times New Roman" w:hAnsi="Arial" w:cs="Arial"/>
          <w:color w:val="333333"/>
          <w:sz w:val="21"/>
          <w:szCs w:val="21"/>
          <w:lang w:eastAsia="ru-RU"/>
        </w:rPr>
        <w:t>), попечителей) и для выполнения легкой работы или занятия профессиональным спортом, которые:</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1) не являются вредными для его здоровья и развития;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2) не препятствуют получению общего среднего, профессионально-технического и среднего специального образования.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Такое согласие может быть выражено путем:</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подачи на имя нанимателя отдельного письменного заявления;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проставления соответствующей надписи с подписью на заявлении о приеме на работу несовершеннолетнего;</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проставления соответствующей надписи с подписью непосредственно на бланке трудового договора, заключаемого с несовершеннолетним.</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Нотариального </w:t>
      </w:r>
      <w:proofErr w:type="gramStart"/>
      <w:r>
        <w:rPr>
          <w:rFonts w:ascii="Arial" w:eastAsia="Times New Roman" w:hAnsi="Arial" w:cs="Arial"/>
          <w:color w:val="333333"/>
          <w:sz w:val="21"/>
          <w:szCs w:val="21"/>
          <w:lang w:eastAsia="ru-RU"/>
        </w:rPr>
        <w:t>заверения согласия</w:t>
      </w:r>
      <w:proofErr w:type="gramEnd"/>
      <w:r>
        <w:rPr>
          <w:rFonts w:ascii="Arial" w:eastAsia="Times New Roman" w:hAnsi="Arial" w:cs="Arial"/>
          <w:color w:val="333333"/>
          <w:sz w:val="21"/>
          <w:szCs w:val="21"/>
          <w:lang w:eastAsia="ru-RU"/>
        </w:rPr>
        <w:t xml:space="preserve"> на трудоустройство несовершеннолетнего законодательством не предусмотрено.</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Прием на работу несовершеннолетних, не достигших возраста 14 лет, запрещается. В случае заключения трудового договора с лицом моложе указанного возраста трудовой договор признается недействительным (пункт 4 статьи 22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 соответствии с частью пятой статьи 28 ТК для работников, не достигших восемнадцати лет, молодых рабочих (служащих), получивших профессионально-техническое образование и для молодых специалистов, получивших среднее специальное, высшее или послевузовское образование, предварительное испытание при заключении трудового договора не устанавливается.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Договор, заключаемый с несовершеннолетним на период летних каникул, является срочным.</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Примерная форма трудового договора установлена постановлением Министерства труда Республики Беларусь от 27.12.1999 № 155.</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xml:space="preserve">При приеме на работу в соответствии с пунктом 1 части первой статьи 54 ТК наниматель обязан потребовать от работника документы, необходимые для заключения трудового договора. Перечень данных документов содержится в части первой статьи 26 ТК. Прием на работу без указанных документов не допускается (часть вторая статьи 26 ТК). Вместе с тем у несовершеннолетних работников, трудоустраивающихся на работу впервые, как правило, не имеется трудовой книжки, страхового свидетельства государственного </w:t>
      </w:r>
      <w:r>
        <w:rPr>
          <w:rFonts w:ascii="Arial" w:eastAsia="Times New Roman" w:hAnsi="Arial" w:cs="Arial"/>
          <w:color w:val="333333"/>
          <w:sz w:val="21"/>
          <w:szCs w:val="21"/>
          <w:lang w:eastAsia="ru-RU"/>
        </w:rPr>
        <w:lastRenderedPageBreak/>
        <w:t>социального страхования, а также документа об образовании. Отсутствие перечисленных документов не является препятствием для их трудоустройства.</w:t>
      </w:r>
    </w:p>
    <w:p w:rsidR="007811CA" w:rsidRDefault="00C13E2E">
      <w:pPr>
        <w:spacing w:after="150" w:line="240" w:lineRule="auto"/>
        <w:ind w:firstLine="600"/>
        <w:jc w:val="both"/>
        <w:rPr>
          <w:rFonts w:ascii="Arial" w:eastAsia="Times New Roman" w:hAnsi="Arial" w:cs="Arial"/>
          <w:color w:val="333333"/>
          <w:sz w:val="21"/>
          <w:szCs w:val="21"/>
          <w:lang w:eastAsia="ru-RU"/>
        </w:rPr>
      </w:pPr>
      <w:proofErr w:type="gramStart"/>
      <w:r>
        <w:rPr>
          <w:rFonts w:ascii="Arial" w:eastAsia="Times New Roman" w:hAnsi="Arial" w:cs="Arial"/>
          <w:color w:val="333333"/>
          <w:sz w:val="21"/>
          <w:szCs w:val="21"/>
          <w:lang w:eastAsia="ru-RU"/>
        </w:rPr>
        <w:t>Трудовые книжки заполняются нанимателем (за исключением нанимателя - физического лица) на всех работников, работающих свыше 5 дней, в том числе поступающих на работу впервые, если работа у данного нанимателя является для работника основной (пункт 4 Инструкции о порядке ведения трудовых книжек, утвержденной постановлением Министерства труда и социальной защиты Республики Беларусь от 16.06.2014 № 40, далее - Инструкция № 40).</w:t>
      </w:r>
      <w:proofErr w:type="gramEnd"/>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С учетом требований пункта 8 Инструкции № 40 трудовая книжка должна быть заполнена в присутствии работника не позднее 7 календарных дней со дня его приема на работу.</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При выдаче трудовой книжки в соответствии с пунктом 77 Инструкции № 40 работник производит оплату стоимости соответствующего бланка в сумме, затраченной нанимателем на ее приобретение.</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После заключения трудового договора несовершеннолетний работник должен быть ознакомлен под роспись с правилами внутреннего трудового распорядка, инструкцией по охране труда, должностной (рабочей) инструкцией, коллективным договором, положением об оплате труда и другими локальными правовыми актами, действующими у нанимателя.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Перечень легких видов работ, которые могут выполнять лица в возрасте от четырнадцати до шестнадцати лет, установлен постановлением Министерства труда и социальной защиты Республики Беларусь от 15.10.2010 № 144.</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 соответствии с нормами статьи 274 ТК запрещается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Список работ, на которых запрещается привлечение к труду лиц моложе восемнадцати лет, установлен постановлением Министерства труда и социальной защиты Республики Беларусь от 27.06.2013 № 67.</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Запрещаются подъем и перемещение несовершеннолетними тяжестей вручную, превышающих установленные для них предельные нормы. Предельные нормы подъема и перемещения несовершеннолетними тяжестей вручную установлены постановлением Министерства здравоохранения Республики Беларусь от 13.10.2010 № 134.</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Работников моложе восемнадцати лет запрещается привлекать к ночным и сверхурочным работам, работам в государственные праздники и праздничные дни, работам в выходные дни (статья 276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При этом обязательные ежегодные медицинские осмотры несовершеннолетних работников проводятся в рабочее время с сохранением среднего заработка (статья 275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Несовершеннолетние работники на общих основаниях имеют право на трудовой отпуск. Продолжительность основного отпуска для работников моложе 18 лет установлена приложением 2 к постановлению Совета Министров Республики Беларусь от 24.01.2008 № 100 и составляет 30 календарных дней.</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При составлении графика трудовых отпусков в соответствии с нормами части четвертой статьи 168 ТК лицам моложе восемнадцати лет наниматель обязан запланировать отпуск по их желанию в летнее или другое удобное время.</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Трудовые отпуска (основной и дополнительный) за первый рабочий год предоставляются не ранее чем через шесть месяцев работы у нанимателя. Однако в соответствии с пунктом 2 части второй статьи 166 ТК по желанию лиц моложе восемнадцати лет наниматель обязан предоставить им трудовые отпуска до истечения шести месяцев работы.</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lastRenderedPageBreak/>
        <w:t>Отзыв из отпуска работников моложе восемнадцати лет не допускается (часть 5 статьи 174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 соответствии с нормами статьи 115 ТК 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статьями 112–114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Так, частью первой статьи 114 ТК определено, что 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частью первой статьи 114 ТК для лиц соответствующего возраста.</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Продолжительность ежедневной работы (смены) для работников в возрасте от четырнадцати до шестнадцати лет в соответствии с нормами статьи 115 ТК не может превышать 4 часа 36 минут, для работников от шестнадцати до восемнадцати лет – 7 часов;</w:t>
      </w:r>
    </w:p>
    <w:p w:rsidR="007811CA" w:rsidRDefault="00C13E2E">
      <w:pPr>
        <w:spacing w:after="150" w:line="240" w:lineRule="auto"/>
        <w:ind w:firstLine="600"/>
        <w:jc w:val="both"/>
        <w:rPr>
          <w:rFonts w:ascii="Arial" w:eastAsia="Times New Roman" w:hAnsi="Arial" w:cs="Arial"/>
          <w:color w:val="333333"/>
          <w:sz w:val="21"/>
          <w:szCs w:val="21"/>
          <w:lang w:eastAsia="ru-RU"/>
        </w:rPr>
      </w:pPr>
      <w:proofErr w:type="gramStart"/>
      <w:r>
        <w:rPr>
          <w:rFonts w:ascii="Arial" w:eastAsia="Times New Roman" w:hAnsi="Arial" w:cs="Arial"/>
          <w:color w:val="333333"/>
          <w:sz w:val="21"/>
          <w:szCs w:val="21"/>
          <w:lang w:eastAsia="ru-RU"/>
        </w:rPr>
        <w:t>Продолжительность ежедневной работы (смены)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в возрасте от четырнадцати до шестнадцати лет не может превышать 2 часа 18 минут, в возрасте от шестнадцати до восемнадцати лет – 3 часа 30 минут.</w:t>
      </w:r>
      <w:proofErr w:type="gramEnd"/>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Необходимо отметить, что в соответствии с частью первой статьи 278 ТК 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Вопросы оплаты труда работников моложе восемнадцати лет урегулированы нормами статьи 279 ТК.</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Так, 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(тарифному окладу), окладу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Расторжение трудового договора с работниками моложе восемнадцати лет по основаниям, предусмотренным пунктами 1–5 статьи 42 ТК, допускается, помимо соблюдения общего порядка, только с согласия, а по основаниям, предусмотренным пунктами 6–11 статьи 42 и пунктами 2 и 3 статьи 44 ТК, – после предварительного, не менее чем за две недели, уведомления районной (городской) комиссии по делам несовершеннолетних.</w:t>
      </w:r>
    </w:p>
    <w:p w:rsidR="007811CA" w:rsidRDefault="00C13E2E">
      <w:pPr>
        <w:spacing w:after="150" w:line="240" w:lineRule="auto"/>
        <w:ind w:firstLine="600"/>
        <w:jc w:val="both"/>
        <w:rPr>
          <w:rFonts w:ascii="Arial" w:eastAsia="Times New Roman" w:hAnsi="Arial" w:cs="Arial"/>
          <w:color w:val="333333"/>
          <w:sz w:val="21"/>
          <w:szCs w:val="21"/>
          <w:lang w:eastAsia="ru-RU"/>
        </w:rPr>
      </w:pPr>
      <w:proofErr w:type="gramStart"/>
      <w:r>
        <w:rPr>
          <w:rFonts w:ascii="Arial" w:eastAsia="Times New Roman" w:hAnsi="Arial" w:cs="Arial"/>
          <w:color w:val="333333"/>
          <w:sz w:val="21"/>
          <w:szCs w:val="21"/>
          <w:lang w:eastAsia="ru-RU"/>
        </w:rPr>
        <w:t xml:space="preserve">Порядок организации и финансирования временной трудовой занятости молодежи, обучающейся в учреждениях образования, в свободное от учебы время, включая период летних каникул (далее - временная трудовая занятость молодежи), определен Положением о порядке организации и финансирования временной трудовой занятости молодежи, обучающейся в учреждениях образования, в свободное от учебы время, утвержденным </w:t>
      </w:r>
      <w:r>
        <w:rPr>
          <w:rFonts w:ascii="Arial" w:eastAsia="Times New Roman" w:hAnsi="Arial" w:cs="Arial"/>
          <w:color w:val="333333"/>
          <w:sz w:val="21"/>
          <w:szCs w:val="21"/>
          <w:lang w:eastAsia="ru-RU"/>
        </w:rPr>
        <w:lastRenderedPageBreak/>
        <w:t>постановлением Совета Министров Республики Беларусь от 23 июня 2010 г. № 958 (далее – Положение).</w:t>
      </w:r>
      <w:proofErr w:type="gramEnd"/>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Временная трудовая занятость молодежи организуется для граждан в возрасте от 14 лет до 31 года (далее - молодые граждане), обучающихся в учреждениях образования в очной (дневной) форме получения образования в целях приобщения к общественно полезному труду и получения трудовых навыков.</w:t>
      </w:r>
    </w:p>
    <w:p w:rsidR="007811CA" w:rsidRDefault="00C13E2E">
      <w:pPr>
        <w:spacing w:after="150" w:line="240" w:lineRule="auto"/>
        <w:ind w:firstLine="600"/>
        <w:jc w:val="both"/>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Молодые граждане, обратившиеся в органы по труду, занятости и социальной защите по вопросам трудоустройства, направляются к нанимателям на свободные рабочие места (вакансии), в том числе на временные дополнительно созданные места.</w:t>
      </w:r>
    </w:p>
    <w:p w:rsidR="007811CA" w:rsidRDefault="00C13E2E">
      <w:pPr>
        <w:spacing w:after="150" w:line="240" w:lineRule="auto"/>
        <w:ind w:firstLine="600"/>
        <w:jc w:val="both"/>
        <w:rPr>
          <w:rFonts w:ascii="Arial" w:eastAsia="Times New Roman" w:hAnsi="Arial" w:cs="Arial"/>
          <w:color w:val="333333"/>
          <w:sz w:val="21"/>
          <w:szCs w:val="21"/>
          <w:lang w:eastAsia="ru-RU"/>
        </w:rPr>
      </w:pPr>
      <w:proofErr w:type="gramStart"/>
      <w:r>
        <w:rPr>
          <w:rFonts w:ascii="Arial" w:eastAsia="Times New Roman" w:hAnsi="Arial" w:cs="Arial"/>
          <w:color w:val="333333"/>
          <w:sz w:val="21"/>
          <w:szCs w:val="21"/>
          <w:lang w:eastAsia="ru-RU"/>
        </w:rPr>
        <w:t>В рамках Положения нанимателю перечисляются денежные средства на оплату труда молодых граждан в размере начисленной заработной платы за фактически отработанное время и выполненную работу, но не более размера минимальной заработной платы (месячной, часовой), установленного в соответствии с законодательством, при условии отработки работником определенной ему нанимателем нормы продолжительности рабочего времени и выполнения месячной (часовой) нормы труда.</w:t>
      </w:r>
      <w:proofErr w:type="gramEnd"/>
    </w:p>
    <w:p w:rsidR="007811CA" w:rsidRDefault="00C13E2E">
      <w:pPr>
        <w:spacing w:after="150" w:line="240" w:lineRule="auto"/>
        <w:ind w:firstLine="600"/>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t> </w:t>
      </w:r>
    </w:p>
    <w:p w:rsidR="007811CA" w:rsidRDefault="007811CA"/>
    <w:sectPr w:rsidR="00781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CA"/>
    <w:rsid w:val="0001177C"/>
    <w:rsid w:val="007811CA"/>
    <w:rsid w:val="00C1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inline">
    <w:name w:val="inline"/>
    <w:basedOn w:val="a0"/>
  </w:style>
  <w:style w:type="character" w:styleId="a3">
    <w:name w:val="Hyperlink"/>
    <w:basedOn w:val="a0"/>
    <w:uiPriority w:val="99"/>
    <w:unhideWhenUsed/>
    <w:rPr>
      <w:color w:val="0000FF"/>
      <w:u w:val="single"/>
    </w:rPr>
  </w:style>
  <w:style w:type="character" w:customStyle="1" w:styleId="delimiter">
    <w:name w:val="delimiter"/>
    <w:basedOn w:val="a0"/>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inline">
    <w:name w:val="inline"/>
    <w:basedOn w:val="a0"/>
  </w:style>
  <w:style w:type="character" w:styleId="a3">
    <w:name w:val="Hyperlink"/>
    <w:basedOn w:val="a0"/>
    <w:uiPriority w:val="99"/>
    <w:unhideWhenUsed/>
    <w:rPr>
      <w:color w:val="0000FF"/>
      <w:u w:val="single"/>
    </w:rPr>
  </w:style>
  <w:style w:type="character" w:customStyle="1" w:styleId="delimiter">
    <w:name w:val="delimiter"/>
    <w:basedOn w:val="a0"/>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72137">
      <w:bodyDiv w:val="1"/>
      <w:marLeft w:val="0"/>
      <w:marRight w:val="0"/>
      <w:marTop w:val="0"/>
      <w:marBottom w:val="0"/>
      <w:divBdr>
        <w:top w:val="none" w:sz="0" w:space="0" w:color="auto"/>
        <w:left w:val="none" w:sz="0" w:space="0" w:color="auto"/>
        <w:bottom w:val="none" w:sz="0" w:space="0" w:color="auto"/>
        <w:right w:val="none" w:sz="0" w:space="0" w:color="auto"/>
      </w:divBdr>
      <w:divsChild>
        <w:div w:id="28773036">
          <w:marLeft w:val="0"/>
          <w:marRight w:val="0"/>
          <w:marTop w:val="0"/>
          <w:marBottom w:val="0"/>
          <w:divBdr>
            <w:top w:val="none" w:sz="0" w:space="0" w:color="auto"/>
            <w:left w:val="none" w:sz="0" w:space="0" w:color="auto"/>
            <w:bottom w:val="none" w:sz="0" w:space="0" w:color="auto"/>
            <w:right w:val="none" w:sz="0" w:space="0" w:color="auto"/>
          </w:divBdr>
          <w:divsChild>
            <w:div w:id="2090468529">
              <w:marLeft w:val="0"/>
              <w:marRight w:val="0"/>
              <w:marTop w:val="0"/>
              <w:marBottom w:val="0"/>
              <w:divBdr>
                <w:top w:val="none" w:sz="0" w:space="0" w:color="auto"/>
                <w:left w:val="none" w:sz="0" w:space="0" w:color="auto"/>
                <w:bottom w:val="none" w:sz="0" w:space="0" w:color="auto"/>
                <w:right w:val="none" w:sz="0" w:space="0" w:color="auto"/>
              </w:divBdr>
            </w:div>
          </w:divsChild>
        </w:div>
        <w:div w:id="166556025">
          <w:marLeft w:val="0"/>
          <w:marRight w:val="0"/>
          <w:marTop w:val="0"/>
          <w:marBottom w:val="150"/>
          <w:divBdr>
            <w:top w:val="none" w:sz="0" w:space="0" w:color="auto"/>
            <w:left w:val="none" w:sz="0" w:space="0" w:color="auto"/>
            <w:bottom w:val="none" w:sz="0" w:space="0" w:color="auto"/>
            <w:right w:val="none" w:sz="0" w:space="0" w:color="auto"/>
          </w:divBdr>
          <w:divsChild>
            <w:div w:id="2138640262">
              <w:marLeft w:val="0"/>
              <w:marRight w:val="0"/>
              <w:marTop w:val="0"/>
              <w:marBottom w:val="0"/>
              <w:divBdr>
                <w:top w:val="none" w:sz="0" w:space="0" w:color="auto"/>
                <w:left w:val="none" w:sz="0" w:space="0" w:color="auto"/>
                <w:bottom w:val="none" w:sz="0" w:space="0" w:color="auto"/>
                <w:right w:val="none" w:sz="0" w:space="0" w:color="auto"/>
              </w:divBdr>
              <w:divsChild>
                <w:div w:id="18691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5936">
          <w:marLeft w:val="0"/>
          <w:marRight w:val="0"/>
          <w:marTop w:val="0"/>
          <w:marBottom w:val="0"/>
          <w:divBdr>
            <w:top w:val="none" w:sz="0" w:space="0" w:color="auto"/>
            <w:left w:val="none" w:sz="0" w:space="0" w:color="auto"/>
            <w:bottom w:val="none" w:sz="0" w:space="0" w:color="auto"/>
            <w:right w:val="none" w:sz="0" w:space="0" w:color="auto"/>
          </w:divBdr>
          <w:divsChild>
            <w:div w:id="1959294751">
              <w:marLeft w:val="0"/>
              <w:marRight w:val="0"/>
              <w:marTop w:val="0"/>
              <w:marBottom w:val="0"/>
              <w:divBdr>
                <w:top w:val="none" w:sz="0" w:space="0" w:color="auto"/>
                <w:left w:val="none" w:sz="0" w:space="0" w:color="auto"/>
                <w:bottom w:val="none" w:sz="0" w:space="0" w:color="auto"/>
                <w:right w:val="none" w:sz="0" w:space="0" w:color="auto"/>
              </w:divBdr>
              <w:divsChild>
                <w:div w:id="139076774">
                  <w:marLeft w:val="0"/>
                  <w:marRight w:val="0"/>
                  <w:marTop w:val="0"/>
                  <w:marBottom w:val="0"/>
                  <w:divBdr>
                    <w:top w:val="none" w:sz="0" w:space="0" w:color="auto"/>
                    <w:left w:val="none" w:sz="0" w:space="0" w:color="auto"/>
                    <w:bottom w:val="none" w:sz="0" w:space="0" w:color="auto"/>
                    <w:right w:val="none" w:sz="0" w:space="0" w:color="auto"/>
                  </w:divBdr>
                  <w:divsChild>
                    <w:div w:id="1508251870">
                      <w:marLeft w:val="0"/>
                      <w:marRight w:val="0"/>
                      <w:marTop w:val="0"/>
                      <w:marBottom w:val="0"/>
                      <w:divBdr>
                        <w:top w:val="none" w:sz="0" w:space="0" w:color="auto"/>
                        <w:left w:val="none" w:sz="0" w:space="0" w:color="auto"/>
                        <w:bottom w:val="none" w:sz="0" w:space="0" w:color="auto"/>
                        <w:right w:val="none" w:sz="0" w:space="0" w:color="auto"/>
                      </w:divBdr>
                      <w:divsChild>
                        <w:div w:id="697390645">
                          <w:marLeft w:val="0"/>
                          <w:marRight w:val="0"/>
                          <w:marTop w:val="0"/>
                          <w:marBottom w:val="0"/>
                          <w:divBdr>
                            <w:top w:val="none" w:sz="0" w:space="0" w:color="auto"/>
                            <w:left w:val="none" w:sz="0" w:space="0" w:color="auto"/>
                            <w:bottom w:val="none" w:sz="0" w:space="0" w:color="auto"/>
                            <w:right w:val="none" w:sz="0" w:space="0" w:color="auto"/>
                          </w:divBdr>
                          <w:divsChild>
                            <w:div w:id="1346832726">
                              <w:marLeft w:val="0"/>
                              <w:marRight w:val="0"/>
                              <w:marTop w:val="0"/>
                              <w:marBottom w:val="0"/>
                              <w:divBdr>
                                <w:top w:val="none" w:sz="0" w:space="0" w:color="auto"/>
                                <w:left w:val="none" w:sz="0" w:space="0" w:color="auto"/>
                                <w:bottom w:val="none" w:sz="0" w:space="0" w:color="auto"/>
                                <w:right w:val="none" w:sz="0" w:space="0" w:color="auto"/>
                              </w:divBdr>
                              <w:divsChild>
                                <w:div w:id="1821342840">
                                  <w:marLeft w:val="0"/>
                                  <w:marRight w:val="0"/>
                                  <w:marTop w:val="0"/>
                                  <w:marBottom w:val="0"/>
                                  <w:divBdr>
                                    <w:top w:val="none" w:sz="0" w:space="0" w:color="auto"/>
                                    <w:left w:val="none" w:sz="0" w:space="0" w:color="auto"/>
                                    <w:bottom w:val="none" w:sz="0" w:space="0" w:color="auto"/>
                                    <w:right w:val="none" w:sz="0" w:space="0" w:color="auto"/>
                                  </w:divBdr>
                                  <w:divsChild>
                                    <w:div w:id="1617177492">
                                      <w:marLeft w:val="0"/>
                                      <w:marRight w:val="0"/>
                                      <w:marTop w:val="0"/>
                                      <w:marBottom w:val="0"/>
                                      <w:divBdr>
                                        <w:top w:val="none" w:sz="0" w:space="0" w:color="auto"/>
                                        <w:left w:val="none" w:sz="0" w:space="0" w:color="auto"/>
                                        <w:bottom w:val="none" w:sz="0" w:space="0" w:color="auto"/>
                                        <w:right w:val="none" w:sz="0" w:space="0" w:color="auto"/>
                                      </w:divBdr>
                                    </w:div>
                                    <w:div w:id="1459497062">
                                      <w:marLeft w:val="0"/>
                                      <w:marRight w:val="0"/>
                                      <w:marTop w:val="0"/>
                                      <w:marBottom w:val="0"/>
                                      <w:divBdr>
                                        <w:top w:val="none" w:sz="0" w:space="0" w:color="auto"/>
                                        <w:left w:val="none" w:sz="0" w:space="0" w:color="auto"/>
                                        <w:bottom w:val="none" w:sz="0" w:space="0" w:color="auto"/>
                                        <w:right w:val="none" w:sz="0" w:space="0" w:color="auto"/>
                                      </w:divBdr>
                                    </w:div>
                                  </w:divsChild>
                                </w:div>
                                <w:div w:id="128284599">
                                  <w:marLeft w:val="0"/>
                                  <w:marRight w:val="0"/>
                                  <w:marTop w:val="0"/>
                                  <w:marBottom w:val="0"/>
                                  <w:divBdr>
                                    <w:top w:val="none" w:sz="0" w:space="0" w:color="auto"/>
                                    <w:left w:val="none" w:sz="0" w:space="0" w:color="auto"/>
                                    <w:bottom w:val="none" w:sz="0" w:space="0" w:color="auto"/>
                                    <w:right w:val="none" w:sz="0" w:space="0" w:color="auto"/>
                                  </w:divBdr>
                                  <w:divsChild>
                                    <w:div w:id="566380933">
                                      <w:marLeft w:val="0"/>
                                      <w:marRight w:val="0"/>
                                      <w:marTop w:val="0"/>
                                      <w:marBottom w:val="0"/>
                                      <w:divBdr>
                                        <w:top w:val="none" w:sz="0" w:space="0" w:color="auto"/>
                                        <w:left w:val="none" w:sz="0" w:space="0" w:color="auto"/>
                                        <w:bottom w:val="none" w:sz="0" w:space="0" w:color="auto"/>
                                        <w:right w:val="none" w:sz="0" w:space="0" w:color="auto"/>
                                      </w:divBdr>
                                      <w:divsChild>
                                        <w:div w:id="340158285">
                                          <w:marLeft w:val="0"/>
                                          <w:marRight w:val="0"/>
                                          <w:marTop w:val="0"/>
                                          <w:marBottom w:val="0"/>
                                          <w:divBdr>
                                            <w:top w:val="none" w:sz="0" w:space="0" w:color="auto"/>
                                            <w:left w:val="none" w:sz="0" w:space="0" w:color="auto"/>
                                            <w:bottom w:val="none" w:sz="0" w:space="0" w:color="auto"/>
                                            <w:right w:val="none" w:sz="0" w:space="0" w:color="auto"/>
                                          </w:divBdr>
                                          <w:divsChild>
                                            <w:div w:id="5984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Наталья Михайловна</dc:creator>
  <cp:lastModifiedBy>Пойтина Алла Олеговна</cp:lastModifiedBy>
  <cp:revision>2</cp:revision>
  <dcterms:created xsi:type="dcterms:W3CDTF">2020-10-19T06:58:00Z</dcterms:created>
  <dcterms:modified xsi:type="dcterms:W3CDTF">2020-10-19T06:58:00Z</dcterms:modified>
</cp:coreProperties>
</file>